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相关法律规定</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一、《社会团体登记管理条例》</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第三十条 社会团体有下列情形之一的，由登记管理机关给予警告，责令改正，可以限期停止活动，并可以责令撤换直接负责的主管人员；情节严重的，予以撤销登记；构成犯罪的，依法追究刑事责任：</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（三）拒不接受或者不按照规定接受监督检查的。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二、《民办</w:t>
      </w:r>
      <w:bookmarkStart w:id="0" w:name="_GoBack"/>
      <w:r>
        <w:rPr>
          <w:rFonts w:hint="default" w:ascii="Times New Roman" w:hAnsi="Times New Roman" w:eastAsia="黑体" w:cs="Times New Roman"/>
          <w:sz w:val="32"/>
          <w:szCs w:val="32"/>
          <w:lang w:val="en-US" w:eastAsia="zh-CN"/>
        </w:rPr>
        <w:t>非企业</w:t>
      </w:r>
      <w:bookmarkEnd w:id="0"/>
      <w:r>
        <w:rPr>
          <w:rFonts w:hint="default" w:ascii="Times New Roman" w:hAnsi="Times New Roman" w:eastAsia="黑体" w:cs="Times New Roman"/>
          <w:sz w:val="32"/>
          <w:szCs w:val="32"/>
          <w:lang w:val="en-US" w:eastAsia="zh-CN"/>
        </w:rPr>
        <w:t>单位登记管理暂行条例》</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第二十五条 民办非企业单位有下列情形之一的，由登记管理机关予以警告，责令改正，可以限期停止活动;情节严重的，予以撤销登记;构成犯罪的，依法追究刑事责任：</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 拒不接受或者不按照规定接受监督检查的；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、《民办非企业单位年度检查办法》</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第八条 民办非企业单位有下列情形之一，由登记管理机关责令改正，情节轻微的，确定为“年检基本合格”;情节严重的，确定为“年检不合格”:</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违反国家法律、法规和有关政策规定的;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违反规定使用登记证书、印章或者财务凭证的;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本年度未开展业务活动，或者不按照章程的规定进行活动的;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无固定住所或必要的活动场所的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内部管理混乱，不能正常开展活动的;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拒不接受或者不按照规定接受登记管理机关监督检查或年检的;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不按照规定办理变更登记，修改章程未按规定核准备案的;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设立分支机构的;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财务制度不健全，资金来源和使用违反有关规定的;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现有净资产低于国家有关行业主管部门规定的最低标准的;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侵占、私分、挪用民办非企业单位的资产或者所接受的捐赠、资助的;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违反国家有关规定收取费用、筹集资金或者接受使用捐赠、资助的;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年检中隐瞒真实情况，弄虚作假的。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、《中华人民共和国行政处罚法》</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第二十八条 行政机关实施行政处罚时，应当责令当事人改正或者限期改正违法行为。</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当事人有违法所得，除依法应当退赔的外，应当予以没收。违法所得是指实施违法行为所取得的款项。法律、行政法规、部门规章对违法所得的计算另有规定的，从其规定。</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、《社会组织信用信息管理办法》</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条 因非行政处罚事项被列入活动异常名录或者严重违法失信名单的社会组织，登记管理机关在作出决定前，应当向社会组织书面告知列入的事实、理由、依据及其依法享有的权利。通过登记的住所无法取得联系的，可以通过互联网公告告知。</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组织对被列入活动异常名录或者严重违法失信名单有异议的，可以在收到告知书之日起10个工作日内向登记管理机关提出书面陈述申辩意见并提交相关证明材料。通过公告方式告知的，社会组织自公告之日起30日内未提交陈述申辩意见的，视为无异议。</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登记管理机关应当自收到陈述申辩意见之日起10个工作日内进行核实，作出是否列入活动异常名录或者严重违法失信名单的决定，并书面告知申请人。</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第十一条 登记管理机关应当将有下列情形之一的社会组织列入活动异常名录：</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（一）未按照规定时限和要求向登记管理机关报送年度工作报告的；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（二）未按照有关规定设立党组织的；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（三）登记管理机关在抽查和其他监督检查中发现问题，发放整改文书要求限期整改，社会组织未按期完成整改的；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（四）具有公开募捐资格的慈善组织，存在《慈善组织公开募捐管理办法》第二十一条规定情形的；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（五）受到警告或者不满5万元罚款处罚的；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（六）通过登记的住所无法与社会组织取得联系的；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（七）法律、行政法规规定应当列入的其他情形。</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登记管理机关在依法履职过程中通过邮寄专用信函向社会组织登记的住所两次邮寄无人签收的，视作通过登记的住所无法与社会组织取得联系。两次邮寄间隔时间不得少于15日，不得超过30日。</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第十五条　登记管理机关应当将有下列情形之一的社会组织列入严重违法失信名单：</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（一）被列入活动异常名录满2年的；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（二）弄虚作假办理变更登记，被撤销变更登记的；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（三）受到限期停止活动行政处罚的；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（四）受到5万元以上罚款处罚的；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（五）3年内2次以上受到警告或者不满5万元罚款处罚的；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（六）被司法机关纳入“失信被执行人”名单的；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（七）被登记管理机关作出吊销登记证书、撤销成（设）立登记决定的；</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（八）法律、行政法规规定应当列入的其他情形。</w:t>
      </w:r>
    </w:p>
    <w:p>
      <w:pPr>
        <w:widowControl w:val="0"/>
        <w:wordWrap/>
        <w:adjustRightInd/>
        <w:snapToGrid/>
        <w:spacing w:before="0" w:after="0" w:line="560" w:lineRule="exact"/>
        <w:ind w:left="0" w:leftChars="0" w:right="0" w:firstLine="880" w:firstLineChars="200"/>
        <w:jc w:val="both"/>
        <w:textAlignment w:val="auto"/>
        <w:outlineLvl w:val="9"/>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TM3NjZkMTU4OWQzMDY1ZGFlNWRlOTcxZGZmYmYwMzI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2024-08-13T15:36:00Z</dcterms:created>
  <dc:creator>.</dc:creator>
  <cp:lastModifiedBy>Administrator</cp:lastModifiedBy>
  <dcterms:modified xsi:type="dcterms:W3CDTF">2024-08-14T06:16:03Z</dcterms:modified>
  <dc:title>相关法律规定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9E0A4729C37F4C85A637EA2460CE5B35_13</vt:lpwstr>
  </property>
</Properties>
</file>