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公益类社团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实地评估主要查看资料目录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社团基本情况介绍（3000字以内）；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法人登记证书</w:t>
      </w:r>
      <w:r>
        <w:rPr>
          <w:rFonts w:hint="eastAsia" w:ascii="仿宋_GB2312" w:eastAsia="仿宋_GB2312"/>
          <w:sz w:val="32"/>
          <w:szCs w:val="32"/>
        </w:rPr>
        <w:t>、住所证明（产权证或租赁协议、无偿使用证明）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现行章程及章程核准批复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（修订）现行章程、会费标准的会议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3年和2024年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监事或监事会设立及履职情况；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党员名单、建立党组织批准文件及党组织活动记录资料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3年和2024年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工作计划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总结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分支（代表）机构工作计划、总结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各项规章制度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现有工作人员花名册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仿宋_GB2312" w:eastAsia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6月全体工作人员工资表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工作人员签订劳动合同和缴纳社会保险、公积金的资料；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会计人员姓名、职务、资格证书及参加继续教育的证明资料（复印件）；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Hlk95422911"/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年度会计报表、会计账簿、凭证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审计报告</w:t>
      </w:r>
      <w:bookmarkEnd w:id="0"/>
      <w:bookmarkStart w:id="1" w:name="_Hlk95422894"/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理事会审议的财务会计报告</w:t>
      </w:r>
      <w:bookmarkEnd w:id="1"/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公益项目目录（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"/>
        </w:rPr>
        <w:t>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、202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年度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所有公益项目），累计公益项目两年的支出金额，按照支出金额由大到小排列；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年至实地评估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当日的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公益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项目资料，包括项目立项、执行方选择、受益人选择、项目监督、项目效果、项目总结等（本部分资料根据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实地评估时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取的项目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提供，不需提前摆放）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承接政府职能、接受政府委托项目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</w:rPr>
        <w:t>购买服务的资料；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（修订）法律法规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向政府提出政策建议的资料；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会员管理、服务、维护会员权益的资料；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开展调查研究、参与标准制定的资料；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编制行业信息相关的通讯、刊物等资料；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设立新闻发言人情况；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获得表彰奖励的资料；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社团认为有必要提供的其他资料；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评估专家组要求提供的其他资料。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2C9A"/>
    <w:multiLevelType w:val="singleLevel"/>
    <w:tmpl w:val="57BC2C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5DA4"/>
    <w:rsid w:val="2FD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2025-03-27T08:11:00Z</dcterms:created>
  <dc:creator>秋风</dc:creator>
  <cp:lastModifiedBy>秋风</cp:lastModifiedBy>
  <dcterms:modified xsi:type="dcterms:W3CDTF">2025-03-27T08:12:07Z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