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6"/>
          <w:szCs w:val="36"/>
          <w:lang w:val="en-US" w:eastAsia="zh-CN" w:bidi="ar"/>
        </w:rPr>
        <w:t>附表3 贵阳市污泥处置设施情况</w:t>
      </w:r>
    </w:p>
    <w:tbl>
      <w:tblPr>
        <w:tblStyle w:val="3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3"/>
        <w:gridCol w:w="2018"/>
        <w:gridCol w:w="2454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3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bookmarkStart w:id="0" w:name="OLE_LINK14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处置设施所属单位名称</w:t>
            </w:r>
          </w:p>
        </w:tc>
        <w:tc>
          <w:tcPr>
            <w:tcW w:w="2018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处置设施类型</w:t>
            </w:r>
          </w:p>
        </w:tc>
        <w:tc>
          <w:tcPr>
            <w:tcW w:w="245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设计处置能力（万吨/年）</w:t>
            </w:r>
          </w:p>
        </w:tc>
        <w:tc>
          <w:tcPr>
            <w:tcW w:w="2128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实际处置量（万吨）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贵阳海螺环保科技有限责任公司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水泥窑协同</w:t>
            </w:r>
          </w:p>
        </w:tc>
        <w:tc>
          <w:tcPr>
            <w:tcW w:w="2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0.458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贵阳海创环境工程有限公司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水泥窑协同</w:t>
            </w:r>
          </w:p>
        </w:tc>
        <w:tc>
          <w:tcPr>
            <w:tcW w:w="2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1.825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0.465 </w:t>
            </w:r>
          </w:p>
        </w:tc>
      </w:tr>
      <w:bookmarkEnd w:id="0"/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wZmVhZDBkMjkxOTY1YmNmZDI0NmRjOWJlMWJlMTUifQ=="/>
  </w:docVars>
  <w:rsids>
    <w:rsidRoot w:val="00000000"/>
    <w:rsid w:val="027836E3"/>
    <w:rsid w:val="365D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2024-07-25T09:41:50Z</dcterms:created>
  <dc:creator>123</dc:creator>
  <cp:lastModifiedBy>Blinddate</cp:lastModifiedBy>
  <dcterms:modified xsi:type="dcterms:W3CDTF">2024-07-25T09:42:30Z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536814EEE67146CDA8649EA66D411B14_12</vt:lpwstr>
  </property>
</Properties>
</file>