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Autospacing="0" w:afterAutospacing="0" w:line="360" w:lineRule="auto"/>
        <w:jc w:val="center"/>
        <w:rPr>
          <w:rStyle w:val="11"/>
          <w:rFonts w:cs="华文中宋" w:asciiTheme="majorEastAsia" w:hAnsiTheme="majorEastAsia" w:eastAsiaTheme="majorEastAsia"/>
          <w:sz w:val="44"/>
          <w:szCs w:val="44"/>
        </w:rPr>
      </w:pPr>
      <w:r>
        <w:rPr>
          <w:rStyle w:val="11"/>
          <w:rFonts w:hint="eastAsia" w:cs="华文中宋" w:asciiTheme="majorEastAsia" w:hAnsiTheme="majorEastAsia" w:eastAsiaTheme="majorEastAsia"/>
          <w:sz w:val="44"/>
          <w:szCs w:val="44"/>
        </w:rPr>
        <w:t>贵州省生态文明建设示范县管理规程</w:t>
      </w:r>
    </w:p>
    <w:p>
      <w:pPr>
        <w:pStyle w:val="8"/>
        <w:shd w:val="clear" w:color="auto" w:fill="FFFFFF"/>
        <w:spacing w:beforeAutospacing="0" w:afterAutospacing="0" w:line="360" w:lineRule="auto"/>
        <w:jc w:val="center"/>
        <w:rPr>
          <w:rFonts w:ascii="楷体" w:hAnsi="楷体" w:eastAsia="楷体"/>
          <w:b/>
          <w:bCs/>
          <w:sz w:val="32"/>
          <w:szCs w:val="32"/>
        </w:rPr>
      </w:pPr>
      <w:r>
        <w:rPr>
          <w:rFonts w:hint="eastAsia" w:ascii="楷体" w:hAnsi="楷体" w:eastAsia="楷体"/>
          <w:b/>
          <w:bCs/>
          <w:sz w:val="32"/>
          <w:szCs w:val="32"/>
        </w:rPr>
        <w:t>（试行）</w:t>
      </w:r>
    </w:p>
    <w:p>
      <w:pPr>
        <w:pStyle w:val="8"/>
        <w:shd w:val="clear" w:color="auto" w:fill="FFFFFF"/>
        <w:spacing w:beforeAutospacing="0" w:afterAutospacing="0"/>
        <w:jc w:val="center"/>
        <w:rPr>
          <w:rFonts w:ascii="仿宋_GB2312" w:eastAsia="仿宋_GB2312" w:cs="Times New Roman"/>
          <w:b/>
          <w:color w:val="000000"/>
          <w:sz w:val="30"/>
          <w:szCs w:val="30"/>
        </w:rPr>
      </w:pPr>
    </w:p>
    <w:p>
      <w:pPr>
        <w:pStyle w:val="8"/>
        <w:shd w:val="clear" w:color="auto" w:fill="FFFFFF"/>
        <w:spacing w:beforeAutospacing="0" w:afterAutospacing="0" w:line="600" w:lineRule="exact"/>
        <w:jc w:val="center"/>
        <w:outlineLvl w:val="0"/>
        <w:rPr>
          <w:rStyle w:val="11"/>
          <w:rFonts w:ascii="黑体" w:eastAsia="黑体" w:cs="宋体"/>
          <w:b w:val="0"/>
          <w:bCs/>
          <w:color w:val="000000"/>
          <w:sz w:val="32"/>
          <w:szCs w:val="32"/>
        </w:rPr>
      </w:pPr>
      <w:r>
        <w:rPr>
          <w:rStyle w:val="11"/>
          <w:rFonts w:hint="eastAsia" w:ascii="黑体" w:eastAsia="黑体" w:cs="宋体"/>
          <w:b w:val="0"/>
          <w:bCs/>
          <w:color w:val="000000"/>
          <w:sz w:val="32"/>
          <w:szCs w:val="32"/>
        </w:rPr>
        <w:t>第一章</w:t>
      </w:r>
      <w:r>
        <w:rPr>
          <w:rStyle w:val="11"/>
          <w:rFonts w:ascii="黑体" w:eastAsia="黑体" w:cs="宋体"/>
          <w:b w:val="0"/>
          <w:bCs/>
          <w:color w:val="000000"/>
          <w:sz w:val="32"/>
          <w:szCs w:val="32"/>
        </w:rPr>
        <w:t xml:space="preserve">  </w:t>
      </w:r>
      <w:r>
        <w:rPr>
          <w:rStyle w:val="11"/>
          <w:rFonts w:hint="eastAsia" w:ascii="黑体" w:eastAsia="黑体" w:cs="宋体"/>
          <w:b w:val="0"/>
          <w:bCs/>
          <w:color w:val="000000"/>
          <w:sz w:val="32"/>
          <w:szCs w:val="32"/>
        </w:rPr>
        <w:t>总</w:t>
      </w:r>
      <w:r>
        <w:rPr>
          <w:rStyle w:val="11"/>
          <w:rFonts w:ascii="黑体" w:eastAsia="黑体" w:cs="宋体"/>
          <w:b w:val="0"/>
          <w:bCs/>
          <w:color w:val="000000"/>
          <w:sz w:val="32"/>
          <w:szCs w:val="32"/>
        </w:rPr>
        <w:t xml:space="preserve">  </w:t>
      </w:r>
      <w:r>
        <w:rPr>
          <w:rStyle w:val="11"/>
          <w:rFonts w:hint="eastAsia" w:ascii="黑体" w:eastAsia="黑体" w:cs="宋体"/>
          <w:b w:val="0"/>
          <w:bCs/>
          <w:color w:val="000000"/>
          <w:sz w:val="32"/>
          <w:szCs w:val="32"/>
        </w:rPr>
        <w:t>则</w:t>
      </w:r>
      <w:bookmarkStart w:id="46" w:name="_GoBack"/>
      <w:bookmarkEnd w:id="46"/>
    </w:p>
    <w:p>
      <w:pPr>
        <w:pStyle w:val="8"/>
        <w:shd w:val="clear" w:color="auto" w:fill="FFFFFF"/>
        <w:spacing w:beforeAutospacing="0" w:afterAutospacing="0" w:line="600" w:lineRule="exact"/>
        <w:jc w:val="both"/>
        <w:rPr>
          <w:rStyle w:val="11"/>
          <w:rFonts w:ascii="黑体" w:eastAsia="黑体" w:cs="宋体"/>
          <w:bCs/>
          <w:color w:val="000000"/>
          <w:sz w:val="32"/>
          <w:szCs w:val="32"/>
        </w:rPr>
      </w:pPr>
    </w:p>
    <w:p>
      <w:pPr>
        <w:pStyle w:val="8"/>
        <w:shd w:val="clear" w:color="auto" w:fill="FFFFFF"/>
        <w:spacing w:beforeAutospacing="0" w:afterAutospacing="0" w:line="600" w:lineRule="exact"/>
        <w:ind w:firstLine="640" w:firstLineChars="200"/>
        <w:jc w:val="both"/>
        <w:rPr>
          <w:rFonts w:ascii="仿宋_GB2312" w:eastAsia="仿宋_GB2312"/>
          <w:bCs/>
          <w:color w:val="000000"/>
          <w:sz w:val="32"/>
          <w:szCs w:val="32"/>
        </w:rPr>
      </w:pPr>
      <w:r>
        <w:rPr>
          <w:rFonts w:hint="eastAsia" w:ascii="黑体" w:eastAsia="黑体" w:cs="黑体"/>
          <w:bCs/>
          <w:color w:val="000000"/>
          <w:sz w:val="32"/>
          <w:szCs w:val="32"/>
        </w:rPr>
        <w:t>第一条</w:t>
      </w:r>
      <w:r>
        <w:rPr>
          <w:rFonts w:ascii="仿宋_GB2312" w:eastAsia="仿宋_GB2312"/>
          <w:bCs/>
          <w:color w:val="000000"/>
          <w:sz w:val="32"/>
          <w:szCs w:val="32"/>
        </w:rPr>
        <w:t xml:space="preserve">  </w:t>
      </w:r>
      <w:r>
        <w:rPr>
          <w:rFonts w:hint="eastAsia" w:ascii="仿宋_GB2312" w:eastAsia="仿宋_GB2312"/>
          <w:bCs/>
          <w:sz w:val="32"/>
          <w:szCs w:val="32"/>
        </w:rPr>
        <w:t>贵州省生态文明建设示范县，是深入贯彻习近平生态文明思想、统筹推进“五位一体”总体布局、打好污染防治攻坚战、促进长江经济带大保护、推进全省生态文明建设和生态环境保护、落实国家生态文明试验区（贵州）建设任务的示范样板。</w:t>
      </w:r>
    </w:p>
    <w:p>
      <w:pPr>
        <w:pStyle w:val="8"/>
        <w:shd w:val="clear" w:color="auto" w:fill="FFFFFF"/>
        <w:spacing w:beforeAutospacing="0" w:afterAutospacing="0" w:line="600" w:lineRule="exact"/>
        <w:ind w:firstLine="640" w:firstLineChars="200"/>
        <w:jc w:val="both"/>
        <w:rPr>
          <w:rFonts w:ascii="仿宋_GB2312" w:eastAsia="仿宋_GB2312"/>
          <w:bCs/>
          <w:sz w:val="32"/>
          <w:szCs w:val="32"/>
        </w:rPr>
      </w:pPr>
      <w:r>
        <w:rPr>
          <w:rFonts w:hint="eastAsia" w:ascii="黑体" w:eastAsia="黑体" w:cs="黑体"/>
          <w:bCs/>
          <w:color w:val="000000"/>
          <w:sz w:val="32"/>
          <w:szCs w:val="32"/>
        </w:rPr>
        <w:t>第二条</w:t>
      </w:r>
      <w:r>
        <w:rPr>
          <w:rFonts w:ascii="仿宋_GB2312" w:eastAsia="仿宋_GB2312"/>
          <w:bCs/>
          <w:color w:val="000000"/>
          <w:sz w:val="32"/>
          <w:szCs w:val="32"/>
        </w:rPr>
        <w:t xml:space="preserve">  </w:t>
      </w:r>
      <w:r>
        <w:rPr>
          <w:rFonts w:hint="eastAsia" w:ascii="仿宋_GB2312" w:eastAsia="仿宋_GB2312"/>
          <w:bCs/>
          <w:color w:val="000000"/>
          <w:sz w:val="32"/>
          <w:szCs w:val="32"/>
        </w:rPr>
        <w:t>为进一步规范贵州省生态文明建设示范县创建管理工作，促进示范创建的</w:t>
      </w:r>
      <w:r>
        <w:rPr>
          <w:rFonts w:hint="eastAsia" w:ascii="仿宋_GB2312" w:eastAsia="仿宋_GB2312"/>
          <w:bCs/>
          <w:sz w:val="32"/>
          <w:szCs w:val="32"/>
        </w:rPr>
        <w:t>规划及实施、申报及预审、核查及命名、监督管理等各环节</w:t>
      </w:r>
      <w:r>
        <w:rPr>
          <w:rFonts w:hint="eastAsia" w:ascii="仿宋_GB2312" w:eastAsia="仿宋_GB2312"/>
          <w:bCs/>
          <w:color w:val="000000"/>
          <w:sz w:val="32"/>
          <w:szCs w:val="32"/>
        </w:rPr>
        <w:t>工作科学化、规范化、制度化，</w:t>
      </w:r>
      <w:r>
        <w:rPr>
          <w:rFonts w:hint="eastAsia" w:ascii="仿宋_GB2312" w:eastAsia="仿宋_GB2312"/>
          <w:bCs/>
          <w:sz w:val="32"/>
          <w:szCs w:val="32"/>
        </w:rPr>
        <w:t>参考生态环境部《国家生态文明建设示范市县管理规程》</w:t>
      </w:r>
      <w:r>
        <w:rPr>
          <w:rFonts w:hint="eastAsia" w:ascii="仿宋_GB2312" w:eastAsia="仿宋_GB2312"/>
          <w:bCs/>
          <w:color w:val="000000"/>
          <w:sz w:val="32"/>
          <w:szCs w:val="32"/>
        </w:rPr>
        <w:t>，结合我省实际制</w:t>
      </w:r>
      <w:r>
        <w:rPr>
          <w:rFonts w:hint="eastAsia" w:ascii="仿宋_GB2312" w:eastAsia="仿宋_GB2312"/>
          <w:bCs/>
          <w:sz w:val="32"/>
          <w:szCs w:val="32"/>
        </w:rPr>
        <w:t>定贵州省生态文明建设示范县管理规程（试行）（以下简称本规程）。</w:t>
      </w:r>
    </w:p>
    <w:p>
      <w:pPr>
        <w:pStyle w:val="8"/>
        <w:shd w:val="clear" w:color="auto" w:fill="FFFFFF"/>
        <w:spacing w:beforeAutospacing="0" w:afterAutospacing="0" w:line="600" w:lineRule="exact"/>
        <w:ind w:firstLine="640" w:firstLineChars="200"/>
        <w:jc w:val="both"/>
        <w:rPr>
          <w:rFonts w:ascii="仿宋_GB2312" w:eastAsia="仿宋_GB2312"/>
          <w:bCs/>
          <w:sz w:val="32"/>
          <w:szCs w:val="32"/>
        </w:rPr>
      </w:pPr>
      <w:r>
        <w:rPr>
          <w:rFonts w:hint="eastAsia" w:ascii="仿宋_GB2312" w:eastAsia="仿宋_GB2312"/>
          <w:bCs/>
          <w:color w:val="000000"/>
          <w:sz w:val="32"/>
          <w:szCs w:val="32"/>
        </w:rPr>
        <w:t>省生态环境厅</w:t>
      </w:r>
      <w:r>
        <w:rPr>
          <w:rFonts w:hint="eastAsia" w:ascii="仿宋_GB2312" w:eastAsia="仿宋_GB2312"/>
          <w:bCs/>
          <w:sz w:val="32"/>
          <w:szCs w:val="32"/>
        </w:rPr>
        <w:t>参考生态环境部《国家生态文明建设示范市县建设指标》，</w:t>
      </w:r>
      <w:r>
        <w:rPr>
          <w:rFonts w:hint="eastAsia" w:ascii="仿宋_GB2312" w:eastAsia="仿宋_GB2312"/>
          <w:bCs/>
          <w:color w:val="000000"/>
          <w:sz w:val="32"/>
          <w:szCs w:val="32"/>
        </w:rPr>
        <w:t>组织研究制定贵州省生态文明建设示范县建设指</w:t>
      </w:r>
      <w:r>
        <w:rPr>
          <w:rFonts w:hint="eastAsia" w:ascii="仿宋_GB2312" w:eastAsia="仿宋_GB2312"/>
          <w:bCs/>
          <w:sz w:val="32"/>
          <w:szCs w:val="32"/>
        </w:rPr>
        <w:t>标（见附表）。</w:t>
      </w:r>
    </w:p>
    <w:p>
      <w:pPr>
        <w:pStyle w:val="8"/>
        <w:shd w:val="clear" w:color="auto" w:fill="FFFFFF"/>
        <w:spacing w:beforeAutospacing="0" w:afterAutospacing="0" w:line="600" w:lineRule="exact"/>
        <w:ind w:firstLine="640" w:firstLineChars="200"/>
        <w:jc w:val="both"/>
        <w:rPr>
          <w:rFonts w:ascii="仿宋_GB2312" w:eastAsia="仿宋_GB2312"/>
          <w:bCs/>
          <w:color w:val="000000"/>
          <w:sz w:val="32"/>
          <w:szCs w:val="32"/>
        </w:rPr>
      </w:pPr>
      <w:r>
        <w:rPr>
          <w:rFonts w:hint="eastAsia" w:ascii="黑体" w:eastAsia="黑体" w:cs="黑体"/>
          <w:bCs/>
          <w:color w:val="000000"/>
          <w:sz w:val="32"/>
          <w:szCs w:val="32"/>
        </w:rPr>
        <w:t>第三条</w:t>
      </w:r>
      <w:bookmarkStart w:id="0" w:name="_Hlk5730527"/>
      <w:r>
        <w:rPr>
          <w:rFonts w:ascii="仿宋_GB2312" w:eastAsia="仿宋_GB2312"/>
          <w:b/>
          <w:color w:val="000000"/>
          <w:sz w:val="32"/>
          <w:szCs w:val="32"/>
        </w:rPr>
        <w:t xml:space="preserve">  </w:t>
      </w:r>
      <w:r>
        <w:rPr>
          <w:rFonts w:hint="eastAsia" w:ascii="仿宋_GB2312" w:eastAsia="仿宋_GB2312"/>
          <w:bCs/>
          <w:sz w:val="32"/>
          <w:szCs w:val="32"/>
        </w:rPr>
        <w:t>本规程适用于以县为单元创建贵州省生态文明建设示范县工作的管理。县包括设区市的区、特区、县级市、自治县、县等县级行政区。</w:t>
      </w:r>
      <w:bookmarkEnd w:id="0"/>
    </w:p>
    <w:p>
      <w:pPr>
        <w:pStyle w:val="8"/>
        <w:shd w:val="clear" w:color="auto" w:fill="FFFFFF"/>
        <w:spacing w:beforeAutospacing="0" w:afterAutospacing="0" w:line="600" w:lineRule="exact"/>
        <w:ind w:firstLine="640" w:firstLineChars="200"/>
        <w:jc w:val="both"/>
        <w:rPr>
          <w:rFonts w:ascii="仿宋_GB2312" w:eastAsia="仿宋_GB2312"/>
          <w:bCs/>
          <w:color w:val="000000"/>
          <w:sz w:val="32"/>
          <w:szCs w:val="32"/>
        </w:rPr>
      </w:pPr>
      <w:r>
        <w:rPr>
          <w:rFonts w:hint="eastAsia" w:ascii="黑体" w:eastAsia="黑体" w:cs="黑体"/>
          <w:bCs/>
          <w:color w:val="000000"/>
          <w:sz w:val="32"/>
          <w:szCs w:val="32"/>
        </w:rPr>
        <w:t>第四条</w:t>
      </w:r>
      <w:r>
        <w:rPr>
          <w:rFonts w:ascii="仿宋_GB2312" w:eastAsia="仿宋_GB2312"/>
          <w:bCs/>
          <w:color w:val="000000"/>
          <w:sz w:val="32"/>
          <w:szCs w:val="32"/>
        </w:rPr>
        <w:t xml:space="preserve">  </w:t>
      </w:r>
      <w:r>
        <w:rPr>
          <w:rFonts w:hint="eastAsia" w:ascii="仿宋_GB2312" w:eastAsia="仿宋_GB2312"/>
          <w:bCs/>
          <w:color w:val="000000"/>
          <w:sz w:val="32"/>
          <w:szCs w:val="32"/>
        </w:rPr>
        <w:t>创建管理工作采取公开、公平、公正的方式，坚持</w:t>
      </w:r>
      <w:r>
        <w:rPr>
          <w:rFonts w:hint="eastAsia" w:ascii="仿宋_GB2312" w:eastAsia="仿宋_GB2312"/>
          <w:bCs/>
          <w:sz w:val="32"/>
          <w:szCs w:val="32"/>
        </w:rPr>
        <w:t>省级</w:t>
      </w:r>
      <w:r>
        <w:rPr>
          <w:rFonts w:hint="eastAsia" w:ascii="仿宋_GB2312" w:eastAsia="仿宋_GB2312"/>
          <w:bCs/>
          <w:color w:val="000000"/>
          <w:sz w:val="32"/>
          <w:szCs w:val="32"/>
        </w:rPr>
        <w:t>引导、地方自愿，党政主导、社会参与，注重实效、突出特色，持续推进</w:t>
      </w:r>
      <w:r>
        <w:rPr>
          <w:rFonts w:hint="eastAsia" w:ascii="仿宋_GB2312" w:eastAsia="仿宋_GB2312"/>
          <w:bCs/>
          <w:sz w:val="32"/>
          <w:szCs w:val="32"/>
        </w:rPr>
        <w:t>、</w:t>
      </w:r>
      <w:r>
        <w:rPr>
          <w:rFonts w:hint="eastAsia" w:ascii="仿宋_GB2312" w:eastAsia="仿宋_GB2312"/>
          <w:bCs/>
          <w:color w:val="000000"/>
          <w:sz w:val="32"/>
          <w:szCs w:val="32"/>
        </w:rPr>
        <w:t>动态管理的原则。</w:t>
      </w:r>
    </w:p>
    <w:p>
      <w:pPr>
        <w:pStyle w:val="8"/>
        <w:shd w:val="clear" w:color="auto" w:fill="FFFFFF"/>
        <w:spacing w:beforeAutospacing="0" w:afterAutospacing="0" w:line="600" w:lineRule="exact"/>
        <w:ind w:firstLine="640" w:firstLineChars="200"/>
        <w:jc w:val="both"/>
        <w:rPr>
          <w:rFonts w:ascii="仿宋_GB2312" w:eastAsia="仿宋_GB2312"/>
          <w:bCs/>
          <w:sz w:val="32"/>
          <w:szCs w:val="32"/>
        </w:rPr>
      </w:pPr>
      <w:r>
        <w:rPr>
          <w:rFonts w:hint="eastAsia" w:ascii="黑体" w:eastAsia="黑体" w:cs="黑体"/>
          <w:bCs/>
          <w:color w:val="000000"/>
          <w:sz w:val="32"/>
          <w:szCs w:val="32"/>
        </w:rPr>
        <w:t xml:space="preserve">第五条  </w:t>
      </w:r>
      <w:r>
        <w:rPr>
          <w:rFonts w:hint="eastAsia" w:ascii="仿宋_GB2312" w:eastAsia="仿宋_GB2312"/>
          <w:bCs/>
          <w:sz w:val="32"/>
          <w:szCs w:val="32"/>
        </w:rPr>
        <w:t>对于创建成效在我省生态文明建设中发挥示范引领作用、达到相应建设标准的县级行政区，在通过省生态环境厅组织的核查后，按程序授予贵州省生态文明建设示范县称号。</w:t>
      </w:r>
    </w:p>
    <w:p>
      <w:pPr>
        <w:pStyle w:val="8"/>
        <w:shd w:val="clear" w:color="auto" w:fill="FFFFFF"/>
        <w:spacing w:beforeAutospacing="0" w:afterAutospacing="0" w:line="600" w:lineRule="exact"/>
        <w:ind w:firstLine="640" w:firstLineChars="200"/>
        <w:jc w:val="both"/>
        <w:rPr>
          <w:rFonts w:ascii="仿宋_GB2312" w:eastAsia="仿宋_GB2312"/>
          <w:bCs/>
          <w:color w:val="000000"/>
          <w:sz w:val="32"/>
          <w:szCs w:val="32"/>
        </w:rPr>
      </w:pPr>
    </w:p>
    <w:p>
      <w:pPr>
        <w:pStyle w:val="8"/>
        <w:shd w:val="clear" w:color="auto" w:fill="FFFFFF"/>
        <w:spacing w:beforeAutospacing="0" w:afterAutospacing="0" w:line="600" w:lineRule="exact"/>
        <w:jc w:val="center"/>
        <w:outlineLvl w:val="0"/>
        <w:rPr>
          <w:rStyle w:val="11"/>
          <w:rFonts w:ascii="黑体" w:eastAsia="黑体" w:cs="宋体"/>
          <w:b w:val="0"/>
          <w:bCs/>
          <w:color w:val="000000"/>
          <w:sz w:val="32"/>
          <w:szCs w:val="32"/>
        </w:rPr>
      </w:pPr>
      <w:r>
        <w:rPr>
          <w:rStyle w:val="11"/>
          <w:rFonts w:hint="eastAsia" w:ascii="黑体" w:eastAsia="黑体" w:cs="宋体"/>
          <w:b w:val="0"/>
          <w:bCs/>
          <w:color w:val="000000"/>
          <w:sz w:val="32"/>
          <w:szCs w:val="32"/>
        </w:rPr>
        <w:t>第二章</w:t>
      </w:r>
      <w:r>
        <w:rPr>
          <w:rStyle w:val="11"/>
          <w:rFonts w:ascii="黑体" w:eastAsia="黑体" w:cs="宋体"/>
          <w:b w:val="0"/>
          <w:bCs/>
          <w:color w:val="000000"/>
          <w:sz w:val="32"/>
          <w:szCs w:val="32"/>
        </w:rPr>
        <w:t xml:space="preserve">  </w:t>
      </w:r>
      <w:r>
        <w:rPr>
          <w:rStyle w:val="11"/>
          <w:rFonts w:hint="eastAsia" w:ascii="黑体" w:eastAsia="黑体" w:cs="宋体"/>
          <w:b w:val="0"/>
          <w:bCs/>
          <w:color w:val="000000"/>
          <w:sz w:val="32"/>
          <w:szCs w:val="32"/>
        </w:rPr>
        <w:t>规划及实施</w:t>
      </w:r>
    </w:p>
    <w:p>
      <w:pPr>
        <w:pStyle w:val="8"/>
        <w:shd w:val="clear" w:color="auto" w:fill="FFFFFF"/>
        <w:spacing w:beforeAutospacing="0" w:afterAutospacing="0" w:line="600" w:lineRule="exact"/>
        <w:jc w:val="both"/>
        <w:rPr>
          <w:rStyle w:val="11"/>
          <w:rFonts w:ascii="仿宋_GB2312" w:eastAsia="仿宋_GB2312" w:cs="宋体"/>
          <w:bCs/>
          <w:color w:val="000000"/>
          <w:sz w:val="32"/>
          <w:szCs w:val="32"/>
        </w:rPr>
      </w:pPr>
    </w:p>
    <w:p>
      <w:pPr>
        <w:ind w:firstLine="640" w:firstLineChars="200"/>
        <w:rPr>
          <w:rFonts w:ascii="仿宋_GB2312" w:eastAsia="仿宋_GB2312" w:cs="宋体"/>
          <w:bCs/>
          <w:kern w:val="0"/>
          <w:sz w:val="32"/>
          <w:szCs w:val="32"/>
        </w:rPr>
      </w:pPr>
      <w:r>
        <w:rPr>
          <w:rFonts w:hint="eastAsia" w:ascii="黑体" w:eastAsia="黑体" w:cs="黑体"/>
          <w:bCs/>
          <w:color w:val="000000"/>
          <w:kern w:val="0"/>
          <w:sz w:val="32"/>
          <w:szCs w:val="32"/>
        </w:rPr>
        <w:t>第六条</w:t>
      </w:r>
      <w:r>
        <w:rPr>
          <w:rFonts w:ascii="仿宋_GB2312" w:eastAsia="仿宋_GB2312"/>
          <w:bCs/>
          <w:color w:val="000000"/>
          <w:sz w:val="32"/>
          <w:szCs w:val="32"/>
        </w:rPr>
        <w:t xml:space="preserve">  </w:t>
      </w:r>
      <w:r>
        <w:rPr>
          <w:rFonts w:hint="eastAsia" w:ascii="仿宋_GB2312" w:eastAsia="仿宋_GB2312" w:cs="宋体"/>
          <w:bCs/>
          <w:kern w:val="0"/>
          <w:sz w:val="32"/>
          <w:szCs w:val="32"/>
        </w:rPr>
        <w:t>开展贵州省生态文明建设示范县创建的地区（以下简称创建地区），应当组织</w:t>
      </w:r>
      <w:r>
        <w:rPr>
          <w:rFonts w:hint="eastAsia" w:ascii="仿宋_GB2312" w:eastAsia="仿宋_GB2312" w:cs="宋体"/>
          <w:bCs/>
          <w:color w:val="000000"/>
          <w:kern w:val="0"/>
          <w:sz w:val="32"/>
          <w:szCs w:val="32"/>
        </w:rPr>
        <w:t>编制生态文</w:t>
      </w:r>
      <w:r>
        <w:rPr>
          <w:rFonts w:hint="eastAsia" w:ascii="仿宋_GB2312" w:eastAsia="仿宋_GB2312" w:cs="宋体"/>
          <w:bCs/>
          <w:kern w:val="0"/>
          <w:sz w:val="32"/>
          <w:szCs w:val="32"/>
        </w:rPr>
        <w:t>明建设规划，所编制的建设规划应具备相当的针对性、科学性和可操作性。</w:t>
      </w:r>
    </w:p>
    <w:p>
      <w:pPr>
        <w:ind w:firstLine="640" w:firstLineChars="200"/>
        <w:rPr>
          <w:rFonts w:ascii="仿宋_GB2312" w:eastAsia="仿宋_GB2312" w:cs="宋体"/>
          <w:bCs/>
          <w:kern w:val="0"/>
          <w:sz w:val="32"/>
          <w:szCs w:val="32"/>
        </w:rPr>
      </w:pPr>
      <w:r>
        <w:rPr>
          <w:rFonts w:hint="eastAsia" w:ascii="仿宋_GB2312" w:eastAsia="仿宋_GB2312" w:cs="宋体"/>
          <w:bCs/>
          <w:kern w:val="0"/>
          <w:sz w:val="32"/>
          <w:szCs w:val="32"/>
        </w:rPr>
        <w:t>建设规划应基本包括：创建目标、现状分析、形势分析、任务措施、重点工程、效益分析、保障措施等，可根据需要进行创建特色亮点专题研究。编制要求可参考生态环境部有关规划编制指南。</w:t>
      </w:r>
    </w:p>
    <w:p>
      <w:pPr>
        <w:ind w:firstLine="640" w:firstLineChars="200"/>
        <w:rPr>
          <w:rFonts w:ascii="仿宋_GB2312" w:eastAsia="仿宋_GB2312"/>
          <w:bCs/>
          <w:color w:val="000000"/>
          <w:sz w:val="32"/>
          <w:szCs w:val="32"/>
        </w:rPr>
      </w:pPr>
      <w:r>
        <w:rPr>
          <w:rFonts w:hint="eastAsia" w:ascii="仿宋_GB2312" w:eastAsia="仿宋_GB2312" w:cs="宋体"/>
          <w:bCs/>
          <w:color w:val="000000"/>
          <w:kern w:val="0"/>
          <w:sz w:val="32"/>
          <w:szCs w:val="32"/>
        </w:rPr>
        <w:t>已同步启动国家生态文明建设示范县创建工作并编制相应建设规划的创建地区，无需再编制省级</w:t>
      </w:r>
      <w:r>
        <w:rPr>
          <w:rFonts w:hint="eastAsia" w:ascii="仿宋_GB2312" w:eastAsia="仿宋_GB2312" w:cs="宋体"/>
          <w:bCs/>
          <w:kern w:val="0"/>
          <w:sz w:val="32"/>
          <w:szCs w:val="32"/>
        </w:rPr>
        <w:t>建设</w:t>
      </w:r>
      <w:r>
        <w:rPr>
          <w:rFonts w:hint="eastAsia" w:ascii="仿宋_GB2312" w:eastAsia="仿宋_GB2312" w:cs="宋体"/>
          <w:bCs/>
          <w:color w:val="000000"/>
          <w:kern w:val="0"/>
          <w:sz w:val="32"/>
          <w:szCs w:val="32"/>
        </w:rPr>
        <w:t>规划。</w:t>
      </w:r>
    </w:p>
    <w:p>
      <w:pPr>
        <w:ind w:firstLine="640" w:firstLineChars="200"/>
        <w:rPr>
          <w:rFonts w:ascii="仿宋_GB2312" w:eastAsia="仿宋_GB2312"/>
          <w:bCs/>
          <w:color w:val="000000"/>
          <w:sz w:val="32"/>
          <w:szCs w:val="32"/>
        </w:rPr>
      </w:pPr>
      <w:r>
        <w:rPr>
          <w:rFonts w:hint="eastAsia" w:ascii="黑体" w:eastAsia="黑体" w:cs="黑体"/>
          <w:bCs/>
          <w:color w:val="000000"/>
          <w:kern w:val="0"/>
          <w:sz w:val="32"/>
          <w:szCs w:val="32"/>
        </w:rPr>
        <w:t>第七条</w:t>
      </w:r>
      <w:r>
        <w:rPr>
          <w:rFonts w:ascii="仿宋_GB2312" w:eastAsia="仿宋_GB2312"/>
          <w:b/>
          <w:color w:val="000000"/>
          <w:sz w:val="32"/>
          <w:szCs w:val="32"/>
        </w:rPr>
        <w:t xml:space="preserve">  </w:t>
      </w:r>
      <w:r>
        <w:rPr>
          <w:rFonts w:hint="eastAsia" w:ascii="仿宋_GB2312" w:eastAsia="仿宋_GB2312" w:cs="宋体"/>
          <w:bCs/>
          <w:kern w:val="0"/>
          <w:sz w:val="32"/>
          <w:szCs w:val="32"/>
        </w:rPr>
        <w:t>创建地区建设</w:t>
      </w:r>
      <w:r>
        <w:rPr>
          <w:rFonts w:hint="eastAsia" w:ascii="仿宋_GB2312" w:eastAsia="仿宋_GB2312" w:cs="宋体"/>
          <w:bCs/>
          <w:color w:val="000000"/>
          <w:kern w:val="0"/>
          <w:sz w:val="32"/>
          <w:szCs w:val="32"/>
        </w:rPr>
        <w:t>规划</w:t>
      </w:r>
      <w:r>
        <w:rPr>
          <w:rFonts w:hint="eastAsia" w:ascii="仿宋_GB2312" w:eastAsia="仿宋_GB2312" w:cs="宋体"/>
          <w:bCs/>
          <w:kern w:val="0"/>
          <w:sz w:val="32"/>
          <w:szCs w:val="32"/>
        </w:rPr>
        <w:t>由省生态环境厅组织或委托市（州）级生态环境主管部门组织专家论证，经论证后提交本级人民代表大会（或其常务委员会）或本级人民政府审议后颁布实施，抄送省生态环境厅和所在市（州）生态环境主管部门备案</w:t>
      </w:r>
      <w:r>
        <w:rPr>
          <w:rFonts w:hint="eastAsia" w:ascii="仿宋_GB2312" w:eastAsia="仿宋_GB2312" w:cs="宋体"/>
          <w:bCs/>
          <w:color w:val="000000"/>
          <w:kern w:val="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bCs/>
          <w:sz w:val="32"/>
          <w:szCs w:val="32"/>
        </w:rPr>
      </w:pPr>
      <w:r>
        <w:rPr>
          <w:rFonts w:hint="eastAsia" w:ascii="黑体" w:eastAsia="黑体" w:cs="黑体"/>
          <w:bCs/>
          <w:color w:val="000000"/>
          <w:sz w:val="32"/>
          <w:szCs w:val="32"/>
        </w:rPr>
        <w:t>第八条</w:t>
      </w:r>
      <w:r>
        <w:rPr>
          <w:rFonts w:ascii="仿宋_GB2312" w:eastAsia="仿宋_GB2312"/>
          <w:b/>
          <w:color w:val="000000"/>
          <w:sz w:val="32"/>
          <w:szCs w:val="32"/>
        </w:rPr>
        <w:t xml:space="preserve"> </w:t>
      </w:r>
      <w:r>
        <w:rPr>
          <w:rFonts w:ascii="仿宋_GB2312" w:eastAsia="仿宋_GB2312"/>
          <w:bCs/>
          <w:color w:val="000000"/>
          <w:sz w:val="32"/>
          <w:szCs w:val="32"/>
        </w:rPr>
        <w:t xml:space="preserve"> </w:t>
      </w:r>
      <w:r>
        <w:rPr>
          <w:rFonts w:hint="eastAsia" w:ascii="仿宋_GB2312" w:eastAsia="仿宋_GB2312"/>
          <w:bCs/>
          <w:sz w:val="32"/>
          <w:szCs w:val="32"/>
        </w:rPr>
        <w:t>创建地区人民政府</w:t>
      </w:r>
      <w:r>
        <w:rPr>
          <w:rFonts w:hint="eastAsia" w:ascii="仿宋_GB2312" w:eastAsia="仿宋_GB2312"/>
          <w:bCs/>
          <w:color w:val="000000"/>
          <w:sz w:val="32"/>
          <w:szCs w:val="32"/>
        </w:rPr>
        <w:t>应当依</w:t>
      </w:r>
      <w:r>
        <w:rPr>
          <w:rFonts w:hint="eastAsia" w:ascii="仿宋_GB2312" w:eastAsia="仿宋_GB2312"/>
          <w:bCs/>
          <w:sz w:val="32"/>
          <w:szCs w:val="32"/>
        </w:rPr>
        <w:t>据建设规划，</w:t>
      </w:r>
      <w:r>
        <w:rPr>
          <w:rFonts w:hint="eastAsia" w:ascii="仿宋_GB2312" w:eastAsia="仿宋_GB2312"/>
          <w:sz w:val="32"/>
          <w:szCs w:val="32"/>
        </w:rPr>
        <w:t>加强组织领导，</w:t>
      </w:r>
      <w:r>
        <w:rPr>
          <w:rFonts w:hint="eastAsia" w:ascii="仿宋_GB2312" w:eastAsia="仿宋_GB2312"/>
          <w:bCs/>
          <w:sz w:val="32"/>
          <w:szCs w:val="32"/>
        </w:rPr>
        <w:t>分解落实工作责任、筹措安排资金项目，</w:t>
      </w:r>
      <w:r>
        <w:rPr>
          <w:rFonts w:hint="eastAsia" w:ascii="仿宋_GB2312" w:eastAsia="仿宋_GB2312"/>
          <w:sz w:val="32"/>
          <w:szCs w:val="32"/>
        </w:rPr>
        <w:t>建立规划实施的监督考核和长效管理机制，</w:t>
      </w:r>
      <w:r>
        <w:rPr>
          <w:rFonts w:hint="eastAsia" w:ascii="仿宋_GB2312" w:eastAsia="仿宋_GB2312"/>
          <w:bCs/>
          <w:sz w:val="32"/>
          <w:szCs w:val="32"/>
        </w:rPr>
        <w:t>确保建设规划</w:t>
      </w:r>
      <w:r>
        <w:rPr>
          <w:rFonts w:hint="eastAsia" w:ascii="仿宋_GB2312" w:eastAsia="仿宋_GB2312"/>
          <w:bCs/>
          <w:color w:val="000000"/>
          <w:sz w:val="32"/>
          <w:szCs w:val="32"/>
        </w:rPr>
        <w:t>得到有效落实。</w:t>
      </w:r>
      <w:r>
        <w:rPr>
          <w:rFonts w:hint="eastAsia" w:ascii="仿宋_GB2312" w:eastAsia="仿宋_GB2312"/>
          <w:bCs/>
          <w:sz w:val="32"/>
          <w:szCs w:val="32"/>
        </w:rPr>
        <w:t>创建地区可自行组织有关培训与考察，促进本地创建。</w:t>
      </w:r>
    </w:p>
    <w:p>
      <w:pPr>
        <w:pStyle w:val="8"/>
        <w:shd w:val="clear" w:color="auto" w:fill="FFFFFF"/>
        <w:spacing w:beforeAutospacing="0" w:afterAutospacing="0" w:line="600" w:lineRule="exact"/>
        <w:ind w:firstLine="640" w:firstLineChars="200"/>
        <w:jc w:val="both"/>
        <w:rPr>
          <w:rFonts w:ascii="仿宋_GB2312" w:eastAsia="仿宋_GB2312"/>
          <w:bCs/>
          <w:sz w:val="32"/>
          <w:szCs w:val="32"/>
        </w:rPr>
      </w:pPr>
      <w:r>
        <w:rPr>
          <w:rFonts w:hint="eastAsia" w:ascii="黑体" w:eastAsia="黑体" w:cs="黑体"/>
          <w:bCs/>
          <w:color w:val="000000"/>
          <w:sz w:val="32"/>
          <w:szCs w:val="32"/>
        </w:rPr>
        <w:t>第九条</w:t>
      </w:r>
      <w:r>
        <w:rPr>
          <w:rFonts w:ascii="仿宋_GB2312" w:eastAsia="仿宋_GB2312"/>
          <w:bCs/>
          <w:sz w:val="32"/>
          <w:szCs w:val="32"/>
        </w:rPr>
        <w:t xml:space="preserve">  </w:t>
      </w:r>
      <w:r>
        <w:rPr>
          <w:rFonts w:hint="eastAsia" w:ascii="仿宋_GB2312" w:eastAsia="仿宋_GB2312"/>
          <w:bCs/>
          <w:sz w:val="32"/>
          <w:szCs w:val="32"/>
        </w:rPr>
        <w:t>创建地区应在政府门户网站动态发布建设规划、实施进展、成效现状等工作信息。每年向省生态环境厅和所在市（州）生态环境主管部门总结上报当年度创建工作进展情况。注重日常创建工作资料的收集、整理和归档，作为后续接受核查的重要参考依据。</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p>
    <w:p>
      <w:pPr>
        <w:pStyle w:val="8"/>
        <w:shd w:val="clear" w:color="auto" w:fill="FFFFFF"/>
        <w:spacing w:beforeAutospacing="0" w:afterAutospacing="0" w:line="600" w:lineRule="exact"/>
        <w:jc w:val="center"/>
        <w:outlineLvl w:val="0"/>
        <w:rPr>
          <w:rStyle w:val="11"/>
          <w:rFonts w:ascii="黑体" w:eastAsia="黑体" w:cs="宋体"/>
          <w:b w:val="0"/>
          <w:bCs/>
          <w:sz w:val="32"/>
          <w:szCs w:val="32"/>
        </w:rPr>
      </w:pPr>
      <w:r>
        <w:rPr>
          <w:rStyle w:val="11"/>
          <w:rFonts w:hint="eastAsia" w:ascii="黑体" w:eastAsia="黑体" w:cs="宋体"/>
          <w:b w:val="0"/>
          <w:bCs/>
          <w:color w:val="000000"/>
          <w:sz w:val="32"/>
          <w:szCs w:val="32"/>
        </w:rPr>
        <w:t>第三章</w:t>
      </w:r>
      <w:r>
        <w:rPr>
          <w:rStyle w:val="11"/>
          <w:rFonts w:ascii="黑体" w:eastAsia="黑体" w:cs="宋体"/>
          <w:b w:val="0"/>
          <w:bCs/>
          <w:color w:val="000000"/>
          <w:sz w:val="32"/>
          <w:szCs w:val="32"/>
        </w:rPr>
        <w:t xml:space="preserve">  </w:t>
      </w:r>
      <w:r>
        <w:rPr>
          <w:rStyle w:val="11"/>
          <w:rFonts w:hint="eastAsia" w:ascii="黑体" w:eastAsia="黑体" w:cs="宋体"/>
          <w:b w:val="0"/>
          <w:bCs/>
          <w:color w:val="000000"/>
          <w:sz w:val="32"/>
          <w:szCs w:val="32"/>
        </w:rPr>
        <w:t>申报及预审</w:t>
      </w:r>
    </w:p>
    <w:p>
      <w:pPr>
        <w:pStyle w:val="8"/>
        <w:shd w:val="clear" w:color="auto" w:fill="FFFFFF"/>
        <w:spacing w:beforeAutospacing="0" w:afterAutospacing="0" w:line="600" w:lineRule="exact"/>
        <w:jc w:val="both"/>
        <w:rPr>
          <w:rFonts w:ascii="仿宋_GB2312" w:eastAsia="仿宋_GB2312"/>
          <w:color w:val="000000"/>
          <w:sz w:val="32"/>
          <w:szCs w:val="32"/>
        </w:rPr>
      </w:pPr>
    </w:p>
    <w:p>
      <w:pPr>
        <w:pStyle w:val="8"/>
        <w:shd w:val="clear" w:color="auto" w:fill="FFFFFF"/>
        <w:spacing w:beforeAutospacing="0" w:afterAutospacing="0" w:line="600" w:lineRule="exact"/>
        <w:ind w:firstLine="640" w:firstLineChars="200"/>
        <w:jc w:val="both"/>
        <w:rPr>
          <w:rStyle w:val="11"/>
          <w:rFonts w:ascii="仿宋_GB2312" w:eastAsia="仿宋_GB2312" w:cs="宋体"/>
          <w:b w:val="0"/>
          <w:sz w:val="32"/>
          <w:szCs w:val="32"/>
        </w:rPr>
      </w:pPr>
      <w:r>
        <w:rPr>
          <w:rFonts w:hint="eastAsia" w:ascii="黑体" w:eastAsia="黑体" w:cs="黑体"/>
          <w:bCs/>
          <w:color w:val="000000"/>
          <w:sz w:val="32"/>
          <w:szCs w:val="32"/>
        </w:rPr>
        <w:t>第十条</w:t>
      </w:r>
      <w:r>
        <w:rPr>
          <w:rStyle w:val="11"/>
          <w:rFonts w:ascii="仿宋_GB2312" w:eastAsia="仿宋_GB2312" w:cs="宋体"/>
          <w:bCs/>
          <w:sz w:val="32"/>
          <w:szCs w:val="32"/>
        </w:rPr>
        <w:t xml:space="preserve">  </w:t>
      </w:r>
      <w:r>
        <w:rPr>
          <w:rStyle w:val="11"/>
          <w:rFonts w:hint="eastAsia" w:ascii="仿宋_GB2312" w:eastAsia="仿宋_GB2312" w:cs="宋体"/>
          <w:b w:val="0"/>
          <w:sz w:val="32"/>
          <w:szCs w:val="32"/>
        </w:rPr>
        <w:t>创建地区人民政府组织实施建设后，对照《贵州省生态文明建设示范县建设指标》自查可达到相应标准的，可由所在市（州）生态环境主管部门组织预审</w:t>
      </w:r>
      <w:r>
        <w:rPr>
          <w:rStyle w:val="11"/>
          <w:rFonts w:hint="eastAsia" w:ascii="仿宋_GB2312" w:eastAsia="仿宋_GB2312" w:cs="宋体"/>
          <w:b w:val="0"/>
          <w:color w:val="000000"/>
          <w:sz w:val="32"/>
          <w:szCs w:val="32"/>
        </w:rPr>
        <w:t>并经市（州）政府同意后，</w:t>
      </w:r>
      <w:r>
        <w:rPr>
          <w:rStyle w:val="11"/>
          <w:rFonts w:ascii="仿宋_GB2312" w:eastAsia="仿宋_GB2312" w:cs="宋体"/>
          <w:b w:val="0"/>
          <w:color w:val="000000"/>
          <w:sz w:val="32"/>
          <w:szCs w:val="32"/>
        </w:rPr>
        <w:t>以市</w:t>
      </w:r>
      <w:r>
        <w:rPr>
          <w:rStyle w:val="11"/>
          <w:rFonts w:hint="eastAsia" w:ascii="仿宋_GB2312" w:eastAsia="仿宋_GB2312" w:cs="宋体"/>
          <w:b w:val="0"/>
          <w:color w:val="000000"/>
          <w:sz w:val="32"/>
          <w:szCs w:val="32"/>
        </w:rPr>
        <w:t>（州）政府</w:t>
      </w:r>
      <w:r>
        <w:rPr>
          <w:rStyle w:val="11"/>
          <w:rFonts w:ascii="仿宋_GB2312" w:eastAsia="仿宋_GB2312" w:cs="宋体"/>
          <w:b w:val="0"/>
          <w:color w:val="000000"/>
          <w:sz w:val="32"/>
          <w:szCs w:val="32"/>
        </w:rPr>
        <w:t>名义</w:t>
      </w:r>
      <w:r>
        <w:rPr>
          <w:rStyle w:val="11"/>
          <w:rFonts w:hint="eastAsia" w:ascii="仿宋_GB2312" w:eastAsia="仿宋_GB2312" w:cs="宋体"/>
          <w:b w:val="0"/>
          <w:sz w:val="32"/>
          <w:szCs w:val="32"/>
        </w:rPr>
        <w:t>向</w:t>
      </w:r>
      <w:r>
        <w:rPr>
          <w:rFonts w:hint="eastAsia" w:ascii="仿宋_GB2312" w:eastAsia="仿宋_GB2312"/>
          <w:bCs/>
          <w:color w:val="000000"/>
          <w:sz w:val="32"/>
          <w:szCs w:val="32"/>
        </w:rPr>
        <w:t>省生态环境厅</w:t>
      </w:r>
      <w:r>
        <w:rPr>
          <w:rStyle w:val="11"/>
          <w:rFonts w:hint="eastAsia" w:ascii="仿宋_GB2312" w:eastAsia="仿宋_GB2312" w:cs="宋体"/>
          <w:b w:val="0"/>
          <w:sz w:val="32"/>
          <w:szCs w:val="32"/>
        </w:rPr>
        <w:t>推荐申报核查命名。提出核查命名申请的应满足以下条件：</w:t>
      </w:r>
    </w:p>
    <w:p>
      <w:pPr>
        <w:pStyle w:val="8"/>
        <w:shd w:val="clear" w:color="auto" w:fill="FFFFFF"/>
        <w:spacing w:beforeAutospacing="0" w:afterAutospacing="0" w:line="600" w:lineRule="exact"/>
        <w:ind w:firstLine="640" w:firstLineChars="200"/>
        <w:jc w:val="both"/>
        <w:rPr>
          <w:rStyle w:val="11"/>
          <w:rFonts w:ascii="仿宋_GB2312" w:eastAsia="仿宋_GB2312" w:cs="宋体"/>
          <w:b w:val="0"/>
          <w:bCs/>
          <w:sz w:val="32"/>
          <w:szCs w:val="32"/>
        </w:rPr>
      </w:pPr>
      <w:r>
        <w:rPr>
          <w:rStyle w:val="11"/>
          <w:rFonts w:hint="eastAsia" w:ascii="仿宋_GB2312" w:eastAsia="仿宋_GB2312" w:cs="宋体"/>
          <w:b w:val="0"/>
          <w:bCs/>
          <w:sz w:val="32"/>
          <w:szCs w:val="32"/>
        </w:rPr>
        <w:t>（一）建设规划已发布并有效实施，且在有效期内。</w:t>
      </w:r>
    </w:p>
    <w:p>
      <w:pPr>
        <w:pStyle w:val="8"/>
        <w:shd w:val="clear" w:color="auto" w:fill="FFFFFF"/>
        <w:spacing w:beforeAutospacing="0" w:afterAutospacing="0" w:line="600" w:lineRule="exact"/>
        <w:ind w:firstLine="640" w:firstLineChars="200"/>
        <w:jc w:val="both"/>
        <w:rPr>
          <w:rStyle w:val="11"/>
          <w:rFonts w:ascii="仿宋_GB2312" w:eastAsia="仿宋_GB2312" w:cs="宋体"/>
          <w:b w:val="0"/>
          <w:sz w:val="32"/>
          <w:szCs w:val="32"/>
        </w:rPr>
      </w:pPr>
      <w:r>
        <w:rPr>
          <w:rStyle w:val="11"/>
          <w:rFonts w:hint="eastAsia" w:ascii="仿宋_GB2312" w:eastAsia="仿宋_GB2312"/>
          <w:b w:val="0"/>
          <w:bCs/>
          <w:sz w:val="32"/>
          <w:szCs w:val="32"/>
        </w:rPr>
        <w:t>（二）经地方自查和市（州）预审，已基本达到贵州省生态文明建设示范县各项建设指标要求。</w:t>
      </w:r>
    </w:p>
    <w:p>
      <w:pPr>
        <w:pStyle w:val="8"/>
        <w:shd w:val="clear" w:color="auto" w:fill="FFFFFF"/>
        <w:spacing w:beforeAutospacing="0" w:afterAutospacing="0" w:line="600" w:lineRule="exact"/>
        <w:ind w:firstLine="640" w:firstLineChars="200"/>
        <w:jc w:val="both"/>
        <w:rPr>
          <w:rStyle w:val="11"/>
          <w:rFonts w:ascii="仿宋_GB2312" w:eastAsia="仿宋_GB2312" w:cs="宋体"/>
          <w:b w:val="0"/>
          <w:bCs/>
          <w:sz w:val="32"/>
          <w:szCs w:val="32"/>
        </w:rPr>
      </w:pPr>
      <w:r>
        <w:rPr>
          <w:rStyle w:val="11"/>
          <w:rFonts w:hint="eastAsia" w:ascii="仿宋_GB2312" w:eastAsia="仿宋_GB2312" w:cs="宋体"/>
          <w:b w:val="0"/>
          <w:bCs/>
          <w:sz w:val="32"/>
          <w:szCs w:val="32"/>
        </w:rPr>
        <w:t>（三）相关生态环境法律法规得到严格落实；本地承担的党政领导干部生态环境损害责任追究、领导干部自然资源资产离任审计、自然资源资产负债表编制、生态环境损害赔偿等各类生态文明体制机制改革任务有效推进。</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黑体" w:eastAsia="黑体" w:cs="黑体"/>
          <w:bCs/>
          <w:color w:val="000000"/>
          <w:sz w:val="32"/>
          <w:szCs w:val="32"/>
        </w:rPr>
        <w:t>第十一条</w:t>
      </w:r>
      <w:r>
        <w:rPr>
          <w:rFonts w:ascii="仿宋_GB2312" w:eastAsia="仿宋_GB2312"/>
          <w:color w:val="000000"/>
          <w:sz w:val="32"/>
          <w:szCs w:val="32"/>
        </w:rPr>
        <w:t xml:space="preserve">  </w:t>
      </w:r>
      <w:r>
        <w:rPr>
          <w:rFonts w:hint="eastAsia" w:ascii="仿宋_GB2312" w:eastAsia="仿宋_GB2312"/>
          <w:sz w:val="32"/>
          <w:szCs w:val="32"/>
        </w:rPr>
        <w:t>近3年</w:t>
      </w:r>
      <w:r>
        <w:rPr>
          <w:rFonts w:hint="eastAsia" w:ascii="仿宋_GB2312" w:eastAsia="仿宋_GB2312"/>
          <w:color w:val="000000"/>
          <w:sz w:val="32"/>
          <w:szCs w:val="32"/>
        </w:rPr>
        <w:t>存在下列情况的地区不得申报</w:t>
      </w:r>
      <w:r>
        <w:rPr>
          <w:rFonts w:hint="eastAsia" w:ascii="仿宋_GB2312" w:eastAsia="仿宋_GB2312"/>
          <w:sz w:val="32"/>
          <w:szCs w:val="32"/>
        </w:rPr>
        <w:t>命名</w:t>
      </w:r>
      <w:r>
        <w:rPr>
          <w:rFonts w:hint="eastAsia" w:ascii="仿宋_GB2312" w:eastAsia="仿宋_GB2312"/>
          <w:color w:val="00000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bookmarkStart w:id="1" w:name="_Hlk5733266"/>
      <w:bookmarkStart w:id="2" w:name="_Hlk12174604"/>
      <w:r>
        <w:rPr>
          <w:rFonts w:hint="eastAsia" w:ascii="仿宋_GB2312" w:eastAsia="仿宋_GB2312"/>
          <w:color w:val="000000"/>
          <w:sz w:val="32"/>
          <w:szCs w:val="32"/>
        </w:rPr>
        <w:t>（一）</w:t>
      </w:r>
      <w:bookmarkStart w:id="3" w:name="_Hlk5730037"/>
      <w:bookmarkStart w:id="4" w:name="_Hlk14767396"/>
      <w:r>
        <w:rPr>
          <w:rFonts w:hint="eastAsia" w:ascii="仿宋_GB2312" w:eastAsia="仿宋_GB2312"/>
          <w:color w:val="000000"/>
          <w:sz w:val="32"/>
          <w:szCs w:val="32"/>
        </w:rPr>
        <w:t>中央生态环境保护督察</w:t>
      </w:r>
      <w:bookmarkEnd w:id="3"/>
      <w:r>
        <w:rPr>
          <w:rFonts w:hint="eastAsia" w:ascii="仿宋_GB2312" w:eastAsia="仿宋_GB2312"/>
          <w:color w:val="000000"/>
          <w:sz w:val="32"/>
          <w:szCs w:val="32"/>
        </w:rPr>
        <w:t>、国家自然资源督察、生态环境部组织的各类专项督查及省</w:t>
      </w:r>
      <w:r>
        <w:rPr>
          <w:rFonts w:hint="eastAsia" w:ascii="仿宋_GB2312" w:eastAsia="仿宋_GB2312"/>
          <w:sz w:val="32"/>
          <w:szCs w:val="32"/>
        </w:rPr>
        <w:t>委生</w:t>
      </w:r>
      <w:r>
        <w:rPr>
          <w:rFonts w:hint="eastAsia" w:ascii="仿宋_GB2312" w:eastAsia="仿宋_GB2312"/>
          <w:color w:val="000000"/>
          <w:sz w:val="32"/>
          <w:szCs w:val="32"/>
        </w:rPr>
        <w:t>态环境保护督察中存在重大问题，且未按计划完成整改任务的</w:t>
      </w:r>
      <w:bookmarkEnd w:id="4"/>
      <w:r>
        <w:rPr>
          <w:rFonts w:hint="eastAsia" w:ascii="仿宋_GB2312" w:eastAsia="仿宋_GB2312"/>
          <w:color w:val="00000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（二）</w:t>
      </w:r>
      <w:bookmarkStart w:id="5" w:name="_Hlk14767407"/>
      <w:r>
        <w:rPr>
          <w:rFonts w:hint="eastAsia" w:ascii="仿宋_GB2312" w:eastAsia="仿宋_GB2312"/>
          <w:color w:val="000000"/>
          <w:sz w:val="32"/>
          <w:szCs w:val="32"/>
        </w:rPr>
        <w:t>未</w:t>
      </w:r>
      <w:r>
        <w:rPr>
          <w:rFonts w:hint="eastAsia" w:ascii="仿宋_GB2312" w:eastAsia="仿宋_GB2312"/>
          <w:sz w:val="32"/>
          <w:szCs w:val="32"/>
        </w:rPr>
        <w:t>按期</w:t>
      </w:r>
      <w:r>
        <w:rPr>
          <w:rFonts w:hint="eastAsia" w:ascii="仿宋_GB2312" w:eastAsia="仿宋_GB2312"/>
          <w:color w:val="000000"/>
          <w:sz w:val="32"/>
          <w:szCs w:val="32"/>
        </w:rPr>
        <w:t>完成国家和省下达的生态环境质</w:t>
      </w:r>
      <w:r>
        <w:rPr>
          <w:rFonts w:hint="eastAsia" w:ascii="仿宋_GB2312" w:eastAsia="仿宋_GB2312"/>
          <w:sz w:val="32"/>
          <w:szCs w:val="32"/>
        </w:rPr>
        <w:t>量、生态环境保护规划、污染防治攻坚战等生态环境保护重点</w:t>
      </w:r>
      <w:r>
        <w:rPr>
          <w:rFonts w:hint="eastAsia" w:ascii="仿宋_GB2312" w:eastAsia="仿宋_GB2312"/>
          <w:color w:val="000000"/>
          <w:sz w:val="32"/>
          <w:szCs w:val="32"/>
        </w:rPr>
        <w:t>工作任务的</w:t>
      </w:r>
      <w:bookmarkEnd w:id="5"/>
      <w:r>
        <w:rPr>
          <w:rFonts w:hint="eastAsia" w:ascii="仿宋_GB2312" w:eastAsia="仿宋_GB2312"/>
          <w:color w:val="00000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（三）</w:t>
      </w:r>
      <w:bookmarkEnd w:id="1"/>
      <w:r>
        <w:rPr>
          <w:rFonts w:hint="eastAsia" w:ascii="仿宋_GB2312" w:eastAsia="仿宋_GB2312"/>
          <w:color w:val="000000"/>
          <w:sz w:val="32"/>
          <w:szCs w:val="32"/>
        </w:rPr>
        <w:t>因重大生态环境问题被生态环境部</w:t>
      </w:r>
      <w:r>
        <w:rPr>
          <w:rFonts w:ascii="仿宋_GB2312" w:eastAsia="仿宋_GB2312"/>
          <w:color w:val="000000"/>
          <w:sz w:val="32"/>
          <w:szCs w:val="32"/>
        </w:rPr>
        <w:t>约谈、</w:t>
      </w:r>
      <w:r>
        <w:rPr>
          <w:rFonts w:hint="eastAsia" w:ascii="仿宋_GB2312" w:eastAsia="仿宋_GB2312"/>
          <w:color w:val="000000"/>
          <w:sz w:val="32"/>
          <w:szCs w:val="32"/>
        </w:rPr>
        <w:t>实施区域限批的</w:t>
      </w:r>
      <w:r>
        <w:rPr>
          <w:rFonts w:ascii="仿宋_GB2312" w:eastAsia="仿宋_GB2312"/>
          <w:color w:val="000000"/>
          <w:sz w:val="32"/>
          <w:szCs w:val="32"/>
        </w:rPr>
        <w:t>，或被列为省级以上挂牌督办案件且未按要求完成整改的</w:t>
      </w:r>
      <w:r>
        <w:rPr>
          <w:rFonts w:hint="eastAsia" w:ascii="仿宋_GB2312" w:eastAsia="仿宋_GB2312"/>
          <w:color w:val="00000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（四）因发生土地、矿产等自然资源违法被国家或省级挂牌督办、问责的；</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（五）发生重大破坏森林资源案件，且未按计划完成整改任务的；</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ascii="仿宋_GB2312" w:eastAsia="仿宋_GB2312"/>
          <w:color w:val="000000"/>
          <w:sz w:val="32"/>
          <w:szCs w:val="32"/>
        </w:rPr>
        <w:t>（六）</w:t>
      </w:r>
      <w:r>
        <w:rPr>
          <w:rFonts w:hint="eastAsia" w:ascii="仿宋_GB2312" w:eastAsia="仿宋_GB2312"/>
          <w:color w:val="000000"/>
          <w:sz w:val="32"/>
          <w:szCs w:val="32"/>
        </w:rPr>
        <w:t>发生重、特大突发环境事件或生态破坏事件的</w:t>
      </w:r>
      <w:r>
        <w:rPr>
          <w:rFonts w:ascii="仿宋_GB2312" w:eastAsia="仿宋_GB2312"/>
          <w:color w:val="00000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七</w:t>
      </w:r>
      <w:r>
        <w:rPr>
          <w:rFonts w:hint="eastAsia" w:ascii="仿宋_GB2312" w:eastAsia="仿宋_GB2312"/>
          <w:color w:val="000000"/>
          <w:sz w:val="32"/>
          <w:szCs w:val="32"/>
        </w:rPr>
        <w:t>）</w:t>
      </w:r>
      <w:bookmarkStart w:id="6" w:name="_Hlk14767427"/>
      <w:r>
        <w:rPr>
          <w:rFonts w:hint="eastAsia" w:ascii="仿宋_GB2312" w:eastAsia="仿宋_GB2312"/>
          <w:color w:val="000000"/>
          <w:sz w:val="32"/>
          <w:szCs w:val="32"/>
        </w:rPr>
        <w:t>群众信访举报的生态环境案件未及时办理、办结率低的</w:t>
      </w:r>
      <w:bookmarkEnd w:id="6"/>
      <w:r>
        <w:rPr>
          <w:rFonts w:hint="eastAsia" w:ascii="仿宋_GB2312" w:eastAsia="仿宋_GB2312"/>
          <w:color w:val="00000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八</w:t>
      </w:r>
      <w:r>
        <w:rPr>
          <w:rFonts w:hint="eastAsia" w:ascii="仿宋_GB2312" w:eastAsia="仿宋_GB2312"/>
          <w:color w:val="000000"/>
          <w:sz w:val="32"/>
          <w:szCs w:val="32"/>
        </w:rPr>
        <w:t>）</w:t>
      </w:r>
      <w:bookmarkStart w:id="7" w:name="_Hlk14767438"/>
      <w:r>
        <w:rPr>
          <w:rFonts w:hint="eastAsia" w:ascii="仿宋_GB2312" w:eastAsia="仿宋_GB2312"/>
          <w:color w:val="000000"/>
          <w:sz w:val="32"/>
          <w:szCs w:val="32"/>
        </w:rPr>
        <w:t>属于国家重点生态功能区，县域生态环境质量监测评价与考核结果为“一般变差”“明显变差”的</w:t>
      </w:r>
      <w:bookmarkEnd w:id="7"/>
      <w:r>
        <w:rPr>
          <w:rFonts w:hint="eastAsia" w:ascii="仿宋_GB2312" w:eastAsia="仿宋_GB2312"/>
          <w:color w:val="000000"/>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九</w:t>
      </w:r>
      <w:r>
        <w:rPr>
          <w:rFonts w:hint="eastAsia" w:ascii="仿宋_GB2312" w:eastAsia="仿宋_GB2312"/>
          <w:color w:val="000000"/>
          <w:sz w:val="32"/>
          <w:szCs w:val="32"/>
        </w:rPr>
        <w:t>）出现</w:t>
      </w:r>
      <w:r>
        <w:rPr>
          <w:rFonts w:hint="eastAsia" w:ascii="仿宋_GB2312" w:eastAsia="仿宋_GB2312"/>
          <w:sz w:val="32"/>
          <w:szCs w:val="32"/>
        </w:rPr>
        <w:t>生态</w:t>
      </w:r>
      <w:r>
        <w:rPr>
          <w:rFonts w:hint="eastAsia" w:ascii="仿宋_GB2312" w:eastAsia="仿宋_GB2312"/>
          <w:color w:val="000000"/>
          <w:sz w:val="32"/>
          <w:szCs w:val="32"/>
        </w:rPr>
        <w:t>环境监测数据造假的。</w:t>
      </w:r>
      <w:bookmarkEnd w:id="2"/>
    </w:p>
    <w:p>
      <w:pPr>
        <w:pStyle w:val="8"/>
        <w:shd w:val="clear" w:color="auto" w:fill="FFFFFF"/>
        <w:spacing w:beforeAutospacing="0" w:afterAutospacing="0" w:line="600" w:lineRule="exact"/>
        <w:ind w:firstLine="640" w:firstLineChars="200"/>
        <w:jc w:val="both"/>
        <w:rPr>
          <w:rStyle w:val="11"/>
          <w:rFonts w:ascii="仿宋_GB2312" w:eastAsia="仿宋_GB2312"/>
          <w:b w:val="0"/>
          <w:color w:val="000000"/>
          <w:sz w:val="32"/>
          <w:szCs w:val="32"/>
        </w:rPr>
      </w:pPr>
      <w:r>
        <w:rPr>
          <w:rFonts w:hint="eastAsia" w:ascii="黑体" w:eastAsia="黑体" w:cs="黑体"/>
          <w:bCs/>
          <w:color w:val="000000"/>
          <w:sz w:val="32"/>
          <w:szCs w:val="32"/>
        </w:rPr>
        <w:t>第十二条</w:t>
      </w:r>
      <w:r>
        <w:rPr>
          <w:rStyle w:val="11"/>
          <w:rFonts w:ascii="仿宋_GB2312" w:eastAsia="仿宋_GB2312"/>
          <w:color w:val="000000"/>
          <w:sz w:val="32"/>
          <w:szCs w:val="32"/>
        </w:rPr>
        <w:t xml:space="preserve">  </w:t>
      </w:r>
      <w:r>
        <w:rPr>
          <w:rStyle w:val="11"/>
          <w:rFonts w:hint="eastAsia" w:ascii="仿宋_GB2312" w:eastAsia="仿宋_GB2312"/>
          <w:b w:val="0"/>
          <w:color w:val="000000"/>
          <w:sz w:val="32"/>
          <w:szCs w:val="32"/>
        </w:rPr>
        <w:t>市（州）级政府及生态环境主管部门应当按照</w:t>
      </w:r>
      <w:r>
        <w:rPr>
          <w:rFonts w:hint="eastAsia" w:ascii="仿宋_GB2312" w:eastAsia="仿宋_GB2312"/>
          <w:bCs/>
          <w:sz w:val="32"/>
          <w:szCs w:val="32"/>
        </w:rPr>
        <w:t>第十条、第十一条</w:t>
      </w:r>
      <w:r>
        <w:rPr>
          <w:rStyle w:val="11"/>
          <w:rFonts w:hint="eastAsia" w:ascii="仿宋_GB2312" w:eastAsia="仿宋_GB2312"/>
          <w:b w:val="0"/>
          <w:sz w:val="32"/>
          <w:szCs w:val="32"/>
        </w:rPr>
        <w:t>所列条件和贵州省生态文明建设示范县建设标准对</w:t>
      </w:r>
      <w:r>
        <w:rPr>
          <w:rStyle w:val="11"/>
          <w:rFonts w:hint="eastAsia" w:ascii="仿宋_GB2312" w:eastAsia="仿宋_GB2312"/>
          <w:b w:val="0"/>
          <w:color w:val="000000"/>
          <w:sz w:val="32"/>
          <w:szCs w:val="32"/>
        </w:rPr>
        <w:t>申报地区进行严格把关、预审推荐。</w:t>
      </w:r>
    </w:p>
    <w:p>
      <w:pPr>
        <w:pStyle w:val="8"/>
        <w:shd w:val="clear" w:color="auto" w:fill="FFFFFF"/>
        <w:spacing w:beforeAutospacing="0" w:afterAutospacing="0" w:line="600" w:lineRule="exact"/>
        <w:ind w:firstLine="640" w:firstLineChars="200"/>
        <w:jc w:val="both"/>
        <w:rPr>
          <w:rFonts w:ascii="仿宋_GB2312" w:eastAsia="仿宋_GB2312"/>
          <w:bCs/>
          <w:color w:val="000000"/>
          <w:sz w:val="32"/>
          <w:szCs w:val="32"/>
        </w:rPr>
      </w:pPr>
      <w:r>
        <w:rPr>
          <w:rFonts w:hint="eastAsia" w:ascii="黑体" w:eastAsia="黑体" w:cs="黑体"/>
          <w:bCs/>
          <w:color w:val="000000"/>
          <w:sz w:val="32"/>
          <w:szCs w:val="32"/>
        </w:rPr>
        <w:t>第十三条</w:t>
      </w:r>
      <w:r>
        <w:rPr>
          <w:rStyle w:val="11"/>
          <w:rFonts w:ascii="仿宋_GB2312" w:eastAsia="仿宋_GB2312"/>
          <w:bCs/>
          <w:color w:val="000000"/>
          <w:sz w:val="32"/>
          <w:szCs w:val="32"/>
        </w:rPr>
        <w:t xml:space="preserve">  </w:t>
      </w:r>
      <w:r>
        <w:rPr>
          <w:rStyle w:val="11"/>
          <w:rFonts w:hint="eastAsia" w:ascii="仿宋_GB2312" w:eastAsia="仿宋_GB2312"/>
          <w:b w:val="0"/>
          <w:color w:val="000000"/>
          <w:sz w:val="32"/>
          <w:szCs w:val="32"/>
        </w:rPr>
        <w:t>市（州）级政府或生态环境主管部门应当对预审推荐地区予以公示，公示期不少于</w:t>
      </w:r>
      <w:r>
        <w:rPr>
          <w:rStyle w:val="11"/>
          <w:rFonts w:ascii="仿宋_GB2312" w:eastAsia="仿宋_GB2312"/>
          <w:b w:val="0"/>
          <w:color w:val="000000"/>
          <w:sz w:val="32"/>
          <w:szCs w:val="32"/>
        </w:rPr>
        <w:t>5</w:t>
      </w:r>
      <w:r>
        <w:rPr>
          <w:rStyle w:val="11"/>
          <w:rFonts w:hint="eastAsia" w:ascii="仿宋_GB2312" w:eastAsia="仿宋_GB2312"/>
          <w:b w:val="0"/>
          <w:color w:val="000000"/>
          <w:sz w:val="32"/>
          <w:szCs w:val="32"/>
        </w:rPr>
        <w:t>个工作日。对公示期间收到投诉和举报的问题，由</w:t>
      </w:r>
      <w:bookmarkStart w:id="8" w:name="_Hlk13840985"/>
      <w:r>
        <w:rPr>
          <w:rStyle w:val="11"/>
          <w:rFonts w:hint="eastAsia" w:ascii="仿宋_GB2312" w:eastAsia="仿宋_GB2312"/>
          <w:b w:val="0"/>
          <w:color w:val="000000"/>
          <w:sz w:val="32"/>
          <w:szCs w:val="32"/>
        </w:rPr>
        <w:t>市（州）级生态环境主管部门</w:t>
      </w:r>
      <w:bookmarkEnd w:id="8"/>
      <w:r>
        <w:rPr>
          <w:rStyle w:val="11"/>
          <w:rFonts w:hint="eastAsia" w:ascii="仿宋_GB2312" w:eastAsia="仿宋_GB2312"/>
          <w:b w:val="0"/>
          <w:color w:val="000000"/>
          <w:sz w:val="32"/>
          <w:szCs w:val="32"/>
        </w:rPr>
        <w:t>组织调查核实。</w:t>
      </w:r>
    </w:p>
    <w:p>
      <w:pPr>
        <w:pStyle w:val="8"/>
        <w:shd w:val="clear" w:color="auto" w:fill="FFFFFF"/>
        <w:spacing w:beforeAutospacing="0" w:afterAutospacing="0" w:line="600" w:lineRule="exact"/>
        <w:ind w:firstLine="640" w:firstLineChars="200"/>
        <w:jc w:val="both"/>
        <w:rPr>
          <w:rFonts w:ascii="仿宋_GB2312" w:eastAsia="仿宋_GB2312"/>
          <w:sz w:val="32"/>
          <w:szCs w:val="32"/>
        </w:rPr>
      </w:pPr>
      <w:r>
        <w:rPr>
          <w:rFonts w:hint="eastAsia" w:ascii="黑体" w:eastAsia="黑体" w:cs="黑体"/>
          <w:bCs/>
          <w:color w:val="000000"/>
          <w:sz w:val="32"/>
          <w:szCs w:val="32"/>
        </w:rPr>
        <w:t>第十四条</w:t>
      </w:r>
      <w:r>
        <w:rPr>
          <w:rFonts w:ascii="仿宋_GB2312" w:eastAsia="仿宋_GB2312"/>
          <w:color w:val="000000"/>
          <w:sz w:val="32"/>
          <w:szCs w:val="32"/>
        </w:rPr>
        <w:t xml:space="preserve">  </w:t>
      </w:r>
      <w:r>
        <w:rPr>
          <w:rFonts w:hint="eastAsia" w:ascii="仿宋_GB2312" w:eastAsia="仿宋_GB2312"/>
          <w:color w:val="000000"/>
          <w:sz w:val="32"/>
          <w:szCs w:val="32"/>
        </w:rPr>
        <w:t>市（州）级政府应当根据预审情况、公示情况形成书面预审</w:t>
      </w:r>
      <w:r>
        <w:rPr>
          <w:rFonts w:ascii="仿宋_GB2312" w:eastAsia="仿宋_GB2312"/>
          <w:color w:val="000000"/>
          <w:sz w:val="32"/>
          <w:szCs w:val="32"/>
        </w:rPr>
        <w:t>推荐</w:t>
      </w:r>
      <w:r>
        <w:rPr>
          <w:rFonts w:hint="eastAsia" w:ascii="仿宋_GB2312" w:eastAsia="仿宋_GB2312"/>
          <w:color w:val="000000"/>
          <w:sz w:val="32"/>
          <w:szCs w:val="32"/>
        </w:rPr>
        <w:t>意见，连同创建</w:t>
      </w:r>
      <w:r>
        <w:rPr>
          <w:rFonts w:ascii="仿宋_GB2312" w:eastAsia="仿宋_GB2312"/>
          <w:color w:val="000000"/>
          <w:sz w:val="32"/>
          <w:szCs w:val="32"/>
        </w:rPr>
        <w:t>地区的</w:t>
      </w:r>
      <w:r>
        <w:rPr>
          <w:rFonts w:hint="eastAsia" w:ascii="仿宋_GB2312" w:eastAsia="仿宋_GB2312"/>
          <w:color w:val="000000"/>
          <w:sz w:val="32"/>
          <w:szCs w:val="32"/>
        </w:rPr>
        <w:t>申报资料，推荐上报至</w:t>
      </w:r>
      <w:r>
        <w:rPr>
          <w:rFonts w:hint="eastAsia" w:ascii="仿宋_GB2312" w:eastAsia="仿宋_GB2312"/>
          <w:bCs/>
          <w:color w:val="000000"/>
          <w:sz w:val="32"/>
          <w:szCs w:val="32"/>
        </w:rPr>
        <w:t>省生态环境厅</w:t>
      </w:r>
      <w:r>
        <w:rPr>
          <w:rFonts w:hint="eastAsia" w:ascii="仿宋_GB2312" w:eastAsia="仿宋_GB2312"/>
          <w:sz w:val="32"/>
          <w:szCs w:val="32"/>
        </w:rPr>
        <w:t>待核查。</w:t>
      </w:r>
    </w:p>
    <w:p>
      <w:pPr>
        <w:pStyle w:val="8"/>
        <w:shd w:val="clear" w:color="auto" w:fill="FFFFFF"/>
        <w:spacing w:beforeAutospacing="0" w:afterAutospacing="0" w:line="600" w:lineRule="exact"/>
        <w:ind w:firstLine="640" w:firstLineChars="200"/>
        <w:jc w:val="both"/>
        <w:rPr>
          <w:rStyle w:val="11"/>
          <w:rFonts w:ascii="仿宋_GB2312" w:eastAsia="仿宋_GB2312"/>
          <w:b w:val="0"/>
          <w:sz w:val="32"/>
          <w:szCs w:val="32"/>
        </w:rPr>
      </w:pPr>
      <w:r>
        <w:rPr>
          <w:rFonts w:hint="eastAsia" w:ascii="仿宋_GB2312" w:eastAsia="仿宋_GB2312"/>
          <w:bCs/>
          <w:color w:val="000000"/>
          <w:sz w:val="32"/>
          <w:szCs w:val="32"/>
        </w:rPr>
        <w:t>省生态环境厅</w:t>
      </w:r>
      <w:r>
        <w:rPr>
          <w:rFonts w:hint="eastAsia" w:ascii="仿宋_GB2312" w:eastAsia="仿宋_GB2312"/>
          <w:sz w:val="32"/>
          <w:szCs w:val="32"/>
        </w:rPr>
        <w:t>每年上半年受理当年申报核查命名的申请。</w:t>
      </w:r>
    </w:p>
    <w:p>
      <w:pPr>
        <w:pStyle w:val="8"/>
        <w:shd w:val="clear" w:color="auto" w:fill="FFFFFF"/>
        <w:spacing w:beforeAutospacing="0" w:afterAutospacing="0" w:line="600" w:lineRule="exact"/>
        <w:ind w:firstLine="640" w:firstLineChars="200"/>
        <w:jc w:val="both"/>
        <w:rPr>
          <w:rStyle w:val="11"/>
          <w:rFonts w:ascii="仿宋_GB2312" w:eastAsia="仿宋_GB2312"/>
          <w:b w:val="0"/>
          <w:color w:val="000000"/>
          <w:sz w:val="32"/>
          <w:szCs w:val="32"/>
        </w:rPr>
      </w:pPr>
      <w:r>
        <w:rPr>
          <w:rFonts w:hint="eastAsia" w:ascii="黑体" w:eastAsia="黑体" w:cs="黑体"/>
          <w:bCs/>
          <w:color w:val="000000"/>
          <w:sz w:val="32"/>
          <w:szCs w:val="32"/>
        </w:rPr>
        <w:t xml:space="preserve">第十五条 </w:t>
      </w:r>
      <w:r>
        <w:rPr>
          <w:rFonts w:ascii="仿宋_GB2312" w:eastAsia="仿宋_GB2312"/>
          <w:color w:val="000000"/>
          <w:sz w:val="32"/>
          <w:szCs w:val="32"/>
        </w:rPr>
        <w:t xml:space="preserve"> </w:t>
      </w:r>
      <w:r>
        <w:rPr>
          <w:rStyle w:val="11"/>
          <w:rFonts w:hint="eastAsia" w:ascii="仿宋_GB2312" w:eastAsia="仿宋_GB2312"/>
          <w:b w:val="0"/>
          <w:color w:val="000000"/>
          <w:sz w:val="32"/>
          <w:szCs w:val="32"/>
        </w:rPr>
        <w:t>市（州）级生态环境主管部门应当指导拟推荐</w:t>
      </w:r>
      <w:r>
        <w:rPr>
          <w:rStyle w:val="11"/>
          <w:rFonts w:hint="eastAsia" w:ascii="仿宋_GB2312" w:eastAsia="仿宋_GB2312"/>
          <w:b w:val="0"/>
          <w:sz w:val="32"/>
          <w:szCs w:val="32"/>
        </w:rPr>
        <w:t>核查</w:t>
      </w:r>
      <w:r>
        <w:rPr>
          <w:rStyle w:val="11"/>
          <w:rFonts w:hint="eastAsia" w:ascii="仿宋_GB2312" w:eastAsia="仿宋_GB2312"/>
          <w:b w:val="0"/>
          <w:color w:val="000000"/>
          <w:sz w:val="32"/>
          <w:szCs w:val="32"/>
        </w:rPr>
        <w:t>的创建地区提交有关数据及档案资料，包括：</w:t>
      </w:r>
    </w:p>
    <w:p>
      <w:pPr>
        <w:pStyle w:val="8"/>
        <w:shd w:val="clear" w:color="auto" w:fill="FFFFFF"/>
        <w:spacing w:beforeAutospacing="0" w:afterAutospacing="0" w:line="600" w:lineRule="exact"/>
        <w:ind w:firstLine="640" w:firstLineChars="200"/>
        <w:jc w:val="both"/>
        <w:rPr>
          <w:rStyle w:val="11"/>
          <w:rFonts w:ascii="仿宋_GB2312" w:eastAsia="仿宋_GB2312"/>
          <w:b w:val="0"/>
          <w:color w:val="000000"/>
          <w:sz w:val="32"/>
          <w:szCs w:val="32"/>
        </w:rPr>
      </w:pPr>
      <w:r>
        <w:rPr>
          <w:rStyle w:val="11"/>
          <w:rFonts w:hint="eastAsia" w:ascii="仿宋_GB2312" w:eastAsia="仿宋_GB2312"/>
          <w:b w:val="0"/>
          <w:color w:val="000000"/>
          <w:sz w:val="32"/>
          <w:szCs w:val="32"/>
        </w:rPr>
        <w:t>（一）申报函和贵州省生态文明建设示范县创建工作报告；</w:t>
      </w:r>
    </w:p>
    <w:p>
      <w:pPr>
        <w:pStyle w:val="8"/>
        <w:shd w:val="clear" w:color="auto" w:fill="FFFFFF"/>
        <w:spacing w:beforeAutospacing="0" w:afterAutospacing="0" w:line="600" w:lineRule="exact"/>
        <w:ind w:firstLine="640" w:firstLineChars="200"/>
        <w:jc w:val="both"/>
        <w:rPr>
          <w:rStyle w:val="11"/>
          <w:rFonts w:ascii="仿宋_GB2312" w:eastAsia="仿宋_GB2312"/>
          <w:b w:val="0"/>
          <w:color w:val="000000"/>
          <w:sz w:val="32"/>
          <w:szCs w:val="32"/>
        </w:rPr>
      </w:pPr>
      <w:r>
        <w:rPr>
          <w:rStyle w:val="11"/>
          <w:rFonts w:hint="eastAsia" w:ascii="仿宋_GB2312" w:eastAsia="仿宋_GB2312"/>
          <w:b w:val="0"/>
          <w:color w:val="000000"/>
          <w:sz w:val="32"/>
          <w:szCs w:val="32"/>
        </w:rPr>
        <w:t>（二）贵州省生态文明建设示范县创建技术报告，主要包括：</w:t>
      </w:r>
      <w:r>
        <w:rPr>
          <w:rStyle w:val="11"/>
          <w:rFonts w:hint="eastAsia" w:ascii="仿宋_GB2312" w:eastAsia="仿宋_GB2312"/>
          <w:b w:val="0"/>
          <w:sz w:val="32"/>
          <w:szCs w:val="32"/>
        </w:rPr>
        <w:t>本规程</w:t>
      </w:r>
      <w:r>
        <w:rPr>
          <w:rFonts w:hint="eastAsia" w:ascii="仿宋_GB2312" w:eastAsia="仿宋_GB2312"/>
          <w:bCs/>
          <w:sz w:val="32"/>
          <w:szCs w:val="32"/>
        </w:rPr>
        <w:t>第十条、第十一条</w:t>
      </w:r>
      <w:r>
        <w:rPr>
          <w:rStyle w:val="11"/>
          <w:rFonts w:hint="eastAsia" w:ascii="仿宋_GB2312" w:eastAsia="仿宋_GB2312"/>
          <w:b w:val="0"/>
          <w:sz w:val="32"/>
          <w:szCs w:val="32"/>
        </w:rPr>
        <w:t>所列条</w:t>
      </w:r>
      <w:r>
        <w:rPr>
          <w:rStyle w:val="11"/>
          <w:rFonts w:hint="eastAsia" w:ascii="仿宋_GB2312" w:eastAsia="仿宋_GB2312"/>
          <w:b w:val="0"/>
          <w:color w:val="000000"/>
          <w:sz w:val="32"/>
          <w:szCs w:val="32"/>
        </w:rPr>
        <w:t>件符合情况，近</w:t>
      </w:r>
      <w:r>
        <w:rPr>
          <w:rStyle w:val="11"/>
          <w:rFonts w:hint="eastAsia" w:ascii="仿宋_GB2312" w:eastAsia="仿宋_GB2312"/>
          <w:b w:val="0"/>
          <w:sz w:val="32"/>
          <w:szCs w:val="32"/>
        </w:rPr>
        <w:t>3</w:t>
      </w:r>
      <w:r>
        <w:rPr>
          <w:rStyle w:val="11"/>
          <w:rFonts w:hint="eastAsia" w:ascii="仿宋_GB2312" w:eastAsia="仿宋_GB2312"/>
          <w:b w:val="0"/>
          <w:color w:val="000000"/>
          <w:sz w:val="32"/>
          <w:szCs w:val="32"/>
        </w:rPr>
        <w:t>年贵州省生态文明建设示范县建设指标完成情况；</w:t>
      </w:r>
    </w:p>
    <w:p>
      <w:pPr>
        <w:pStyle w:val="8"/>
        <w:shd w:val="clear" w:color="auto" w:fill="FFFFFF"/>
        <w:spacing w:beforeAutospacing="0" w:afterAutospacing="0" w:line="600" w:lineRule="exact"/>
        <w:ind w:firstLine="640" w:firstLineChars="200"/>
        <w:jc w:val="both"/>
        <w:rPr>
          <w:rStyle w:val="11"/>
          <w:rFonts w:ascii="仿宋_GB2312" w:eastAsia="仿宋_GB2312"/>
          <w:b w:val="0"/>
          <w:color w:val="000000"/>
          <w:sz w:val="32"/>
          <w:szCs w:val="32"/>
        </w:rPr>
      </w:pPr>
      <w:r>
        <w:rPr>
          <w:rStyle w:val="11"/>
          <w:rFonts w:hint="eastAsia" w:ascii="仿宋_GB2312" w:eastAsia="仿宋_GB2312"/>
          <w:b w:val="0"/>
          <w:color w:val="000000"/>
          <w:sz w:val="32"/>
          <w:szCs w:val="32"/>
        </w:rPr>
        <w:t>（三）各项建设指标完成情况的证明材料及必要的佐证材料。</w:t>
      </w:r>
    </w:p>
    <w:p>
      <w:pPr>
        <w:pStyle w:val="8"/>
        <w:shd w:val="clear" w:color="auto" w:fill="FFFFFF"/>
        <w:spacing w:beforeAutospacing="0" w:afterAutospacing="0" w:line="600" w:lineRule="exact"/>
        <w:ind w:firstLine="643" w:firstLineChars="200"/>
        <w:jc w:val="both"/>
        <w:rPr>
          <w:rStyle w:val="11"/>
          <w:rFonts w:ascii="仿宋_GB2312" w:eastAsia="仿宋_GB2312" w:cs="宋体"/>
          <w:bCs/>
          <w:color w:val="000000"/>
          <w:sz w:val="32"/>
          <w:szCs w:val="32"/>
        </w:rPr>
      </w:pPr>
    </w:p>
    <w:p>
      <w:pPr>
        <w:pStyle w:val="8"/>
        <w:shd w:val="clear" w:color="auto" w:fill="FFFFFF"/>
        <w:spacing w:beforeAutospacing="0" w:afterAutospacing="0" w:line="600" w:lineRule="exact"/>
        <w:jc w:val="center"/>
        <w:outlineLvl w:val="0"/>
        <w:rPr>
          <w:rStyle w:val="11"/>
          <w:rFonts w:ascii="黑体" w:eastAsia="黑体" w:cs="宋体"/>
          <w:b w:val="0"/>
          <w:sz w:val="32"/>
          <w:szCs w:val="32"/>
        </w:rPr>
      </w:pPr>
      <w:r>
        <w:rPr>
          <w:rStyle w:val="11"/>
          <w:rFonts w:hint="eastAsia" w:ascii="黑体" w:eastAsia="黑体" w:cs="宋体"/>
          <w:b w:val="0"/>
          <w:color w:val="000000"/>
          <w:sz w:val="32"/>
          <w:szCs w:val="32"/>
        </w:rPr>
        <w:t>第四章</w:t>
      </w:r>
      <w:r>
        <w:rPr>
          <w:rStyle w:val="11"/>
          <w:rFonts w:ascii="黑体" w:eastAsia="黑体" w:cs="宋体"/>
          <w:b w:val="0"/>
          <w:color w:val="000000"/>
          <w:sz w:val="32"/>
          <w:szCs w:val="32"/>
        </w:rPr>
        <w:t xml:space="preserve">  </w:t>
      </w:r>
      <w:r>
        <w:rPr>
          <w:rStyle w:val="11"/>
          <w:rFonts w:hint="eastAsia" w:ascii="黑体" w:eastAsia="黑体" w:cs="宋体"/>
          <w:b w:val="0"/>
          <w:sz w:val="32"/>
          <w:szCs w:val="32"/>
        </w:rPr>
        <w:t>核查及命名</w:t>
      </w:r>
    </w:p>
    <w:p>
      <w:pPr>
        <w:pStyle w:val="8"/>
        <w:shd w:val="clear" w:color="auto" w:fill="FFFFFF"/>
        <w:spacing w:beforeAutospacing="0" w:afterAutospacing="0" w:line="600" w:lineRule="exact"/>
        <w:jc w:val="both"/>
        <w:rPr>
          <w:rStyle w:val="12"/>
          <w:rFonts w:ascii="仿宋_GB2312" w:eastAsia="仿宋_GB2312"/>
          <w:b w:val="0"/>
          <w:bCs w:val="0"/>
          <w:color w:val="000000"/>
          <w:sz w:val="32"/>
          <w:szCs w:val="32"/>
        </w:rPr>
      </w:pPr>
    </w:p>
    <w:p>
      <w:pPr>
        <w:ind w:firstLine="640" w:firstLineChars="200"/>
        <w:rPr>
          <w:rFonts w:ascii="仿宋_GB2312" w:eastAsia="仿宋_GB2312"/>
          <w:bCs/>
          <w:kern w:val="0"/>
          <w:sz w:val="32"/>
          <w:szCs w:val="32"/>
        </w:rPr>
      </w:pPr>
      <w:r>
        <w:rPr>
          <w:rFonts w:hint="eastAsia" w:ascii="黑体" w:eastAsia="黑体" w:cs="黑体"/>
          <w:bCs/>
          <w:color w:val="000000"/>
          <w:kern w:val="0"/>
          <w:sz w:val="32"/>
          <w:szCs w:val="32"/>
        </w:rPr>
        <w:t>第十六条</w:t>
      </w:r>
      <w:r>
        <w:rPr>
          <w:rStyle w:val="11"/>
          <w:rFonts w:ascii="仿宋_GB2312" w:eastAsia="仿宋_GB2312" w:cs="宋体"/>
          <w:bCs/>
          <w:sz w:val="32"/>
          <w:szCs w:val="32"/>
        </w:rPr>
        <w:t xml:space="preserve">  </w:t>
      </w:r>
      <w:r>
        <w:rPr>
          <w:rFonts w:hint="eastAsia" w:ascii="仿宋_GB2312" w:eastAsia="仿宋_GB2312"/>
          <w:bCs/>
          <w:kern w:val="0"/>
          <w:sz w:val="32"/>
          <w:szCs w:val="32"/>
        </w:rPr>
        <w:t>省生态环境厅在收到</w:t>
      </w:r>
      <w:r>
        <w:rPr>
          <w:rFonts w:ascii="仿宋_GB2312" w:eastAsia="仿宋_GB2312"/>
          <w:bCs/>
          <w:kern w:val="0"/>
          <w:sz w:val="32"/>
          <w:szCs w:val="32"/>
        </w:rPr>
        <w:t>创建地区的</w:t>
      </w:r>
      <w:r>
        <w:rPr>
          <w:rFonts w:hint="eastAsia" w:ascii="仿宋_GB2312" w:eastAsia="仿宋_GB2312"/>
          <w:bCs/>
          <w:kern w:val="0"/>
          <w:sz w:val="32"/>
          <w:szCs w:val="32"/>
        </w:rPr>
        <w:t>核查命名申请和</w:t>
      </w:r>
      <w:r>
        <w:rPr>
          <w:rFonts w:ascii="仿宋_GB2312" w:eastAsia="仿宋_GB2312"/>
          <w:bCs/>
          <w:kern w:val="0"/>
          <w:sz w:val="32"/>
          <w:szCs w:val="32"/>
        </w:rPr>
        <w:t>所属</w:t>
      </w:r>
      <w:r>
        <w:rPr>
          <w:rFonts w:hint="eastAsia" w:ascii="仿宋_GB2312" w:eastAsia="仿宋_GB2312"/>
          <w:bCs/>
          <w:kern w:val="0"/>
          <w:sz w:val="32"/>
          <w:szCs w:val="32"/>
        </w:rPr>
        <w:t>市（州）级政府预审推荐意见后，组织省级核查。核查方式包括资料审核和实地核查，并邀请专家和有关部门参与。</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省级核查过程中发现</w:t>
      </w:r>
      <w:r>
        <w:rPr>
          <w:rFonts w:ascii="仿宋_GB2312" w:eastAsia="仿宋_GB2312"/>
          <w:color w:val="000000"/>
          <w:sz w:val="32"/>
          <w:szCs w:val="32"/>
        </w:rPr>
        <w:t>创建地区</w:t>
      </w:r>
      <w:r>
        <w:rPr>
          <w:rFonts w:hint="eastAsia" w:ascii="仿宋_GB2312" w:eastAsia="仿宋_GB2312"/>
          <w:color w:val="000000"/>
          <w:sz w:val="32"/>
          <w:szCs w:val="32"/>
        </w:rPr>
        <w:t>存在弄虚作假行为的，终止核查并取消下一年度</w:t>
      </w:r>
      <w:r>
        <w:rPr>
          <w:rFonts w:hint="eastAsia" w:ascii="仿宋_GB2312" w:eastAsia="仿宋_GB2312"/>
          <w:sz w:val="32"/>
          <w:szCs w:val="32"/>
        </w:rPr>
        <w:t>申报资</w:t>
      </w:r>
      <w:r>
        <w:rPr>
          <w:rFonts w:hint="eastAsia" w:ascii="仿宋_GB2312" w:eastAsia="仿宋_GB2312"/>
          <w:color w:val="000000"/>
          <w:sz w:val="32"/>
          <w:szCs w:val="32"/>
        </w:rPr>
        <w:t>格。</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黑体" w:eastAsia="黑体" w:cs="黑体"/>
          <w:bCs/>
          <w:sz w:val="32"/>
          <w:szCs w:val="32"/>
        </w:rPr>
        <w:t>第十七条</w:t>
      </w:r>
      <w:r>
        <w:rPr>
          <w:rFonts w:ascii="仿宋_GB2312" w:eastAsia="仿宋_GB2312"/>
          <w:b/>
          <w:bCs/>
          <w:sz w:val="32"/>
          <w:szCs w:val="32"/>
        </w:rPr>
        <w:t xml:space="preserve">  </w:t>
      </w:r>
      <w:r>
        <w:rPr>
          <w:rFonts w:hint="eastAsia" w:ascii="仿宋_GB2312" w:eastAsia="仿宋_GB2312"/>
          <w:sz w:val="32"/>
          <w:szCs w:val="32"/>
        </w:rPr>
        <w:t>资料审核主</w:t>
      </w:r>
      <w:r>
        <w:rPr>
          <w:rFonts w:hint="eastAsia" w:ascii="仿宋_GB2312" w:eastAsia="仿宋_GB2312"/>
          <w:color w:val="000000"/>
          <w:sz w:val="32"/>
          <w:szCs w:val="32"/>
        </w:rPr>
        <w:t>要包括：</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（一）本规程</w:t>
      </w:r>
      <w:r>
        <w:rPr>
          <w:rFonts w:hint="eastAsia" w:ascii="仿宋_GB2312" w:eastAsia="仿宋_GB2312"/>
          <w:bCs/>
          <w:sz w:val="32"/>
          <w:szCs w:val="32"/>
        </w:rPr>
        <w:t>第十条、第十一条</w:t>
      </w:r>
      <w:r>
        <w:rPr>
          <w:rFonts w:hint="eastAsia" w:ascii="仿宋_GB2312" w:eastAsia="仿宋_GB2312"/>
          <w:color w:val="000000"/>
          <w:sz w:val="32"/>
          <w:szCs w:val="32"/>
        </w:rPr>
        <w:t>所列条件符合情况；</w:t>
      </w:r>
    </w:p>
    <w:p>
      <w:pPr>
        <w:pStyle w:val="8"/>
        <w:shd w:val="clear" w:color="auto" w:fill="FFFFFF"/>
        <w:spacing w:beforeAutospacing="0" w:afterAutospacing="0" w:line="600" w:lineRule="exact"/>
        <w:ind w:firstLine="640" w:firstLineChars="200"/>
        <w:jc w:val="both"/>
        <w:rPr>
          <w:rFonts w:ascii="仿宋_GB2312" w:eastAsia="仿宋_GB2312"/>
          <w:sz w:val="32"/>
          <w:szCs w:val="32"/>
        </w:rPr>
      </w:pPr>
      <w:r>
        <w:rPr>
          <w:rFonts w:hint="eastAsia" w:ascii="仿宋_GB2312" w:eastAsia="仿宋_GB2312"/>
          <w:color w:val="000000"/>
          <w:sz w:val="32"/>
          <w:szCs w:val="32"/>
        </w:rPr>
        <w:t>（二）建设指标完成情况及相应证明材料</w:t>
      </w:r>
      <w:r>
        <w:rPr>
          <w:rFonts w:hint="eastAsia" w:ascii="仿宋_GB2312" w:eastAsia="仿宋_GB2312"/>
          <w:sz w:val="32"/>
          <w:szCs w:val="32"/>
        </w:rPr>
        <w:t>的真实性、权威性、时效性；</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（三）其他需要审核的内容。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资料审核期间，对于</w:t>
      </w:r>
      <w:r>
        <w:rPr>
          <w:rFonts w:ascii="仿宋_GB2312" w:eastAsia="仿宋_GB2312"/>
          <w:color w:val="000000"/>
          <w:sz w:val="32"/>
          <w:szCs w:val="32"/>
        </w:rPr>
        <w:t>创建地区</w:t>
      </w:r>
      <w:r>
        <w:rPr>
          <w:rFonts w:hint="eastAsia" w:ascii="仿宋_GB2312" w:eastAsia="仿宋_GB2312"/>
          <w:color w:val="000000"/>
          <w:sz w:val="32"/>
          <w:szCs w:val="32"/>
        </w:rPr>
        <w:t>提交的申报材料不齐全或明显存在缺陷的，告知</w:t>
      </w:r>
      <w:r>
        <w:rPr>
          <w:rFonts w:ascii="仿宋_GB2312" w:eastAsia="仿宋_GB2312"/>
          <w:color w:val="000000"/>
          <w:sz w:val="32"/>
          <w:szCs w:val="32"/>
        </w:rPr>
        <w:t>创建地区</w:t>
      </w:r>
      <w:r>
        <w:rPr>
          <w:rFonts w:hint="eastAsia" w:ascii="仿宋_GB2312" w:eastAsia="仿宋_GB2312"/>
          <w:sz w:val="32"/>
          <w:szCs w:val="32"/>
        </w:rPr>
        <w:t>在规定时限内进行</w:t>
      </w:r>
      <w:r>
        <w:rPr>
          <w:rFonts w:hint="eastAsia" w:ascii="仿宋_GB2312" w:eastAsia="仿宋_GB2312"/>
          <w:color w:val="000000"/>
          <w:sz w:val="32"/>
          <w:szCs w:val="32"/>
        </w:rPr>
        <w:t>补件。通过资料审核的，方可组织实地核查。</w:t>
      </w:r>
    </w:p>
    <w:p>
      <w:pPr>
        <w:ind w:firstLine="640" w:firstLineChars="200"/>
        <w:rPr>
          <w:rFonts w:ascii="仿宋_GB2312" w:eastAsia="仿宋_GB2312"/>
          <w:color w:val="000000"/>
          <w:sz w:val="32"/>
          <w:szCs w:val="32"/>
        </w:rPr>
      </w:pPr>
      <w:r>
        <w:rPr>
          <w:rFonts w:hint="eastAsia" w:ascii="黑体" w:eastAsia="黑体" w:cs="黑体"/>
          <w:bCs/>
          <w:color w:val="000000"/>
          <w:kern w:val="0"/>
          <w:sz w:val="32"/>
          <w:szCs w:val="32"/>
        </w:rPr>
        <w:t>第十八条</w:t>
      </w:r>
      <w:r>
        <w:rPr>
          <w:rFonts w:hint="eastAsia" w:ascii="仿宋_GB2312" w:eastAsia="仿宋_GB2312"/>
          <w:color w:val="000000"/>
          <w:sz w:val="32"/>
          <w:szCs w:val="32"/>
        </w:rPr>
        <w:t xml:space="preserve">  实地核查主要包括：</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bookmarkStart w:id="9" w:name="_Hlk5734114"/>
      <w:r>
        <w:rPr>
          <w:rFonts w:hint="eastAsia" w:ascii="仿宋_GB2312" w:eastAsia="仿宋_GB2312"/>
          <w:color w:val="000000"/>
          <w:sz w:val="32"/>
          <w:szCs w:val="32"/>
        </w:rPr>
        <w:t>（一）审核</w:t>
      </w:r>
      <w:r>
        <w:rPr>
          <w:rFonts w:hint="eastAsia" w:ascii="仿宋_GB2312" w:eastAsia="仿宋_GB2312"/>
          <w:sz w:val="32"/>
          <w:szCs w:val="32"/>
        </w:rPr>
        <w:t>评估</w:t>
      </w:r>
      <w:r>
        <w:rPr>
          <w:rFonts w:hint="eastAsia" w:ascii="仿宋_GB2312" w:eastAsia="仿宋_GB2312"/>
          <w:color w:val="000000"/>
          <w:sz w:val="32"/>
          <w:szCs w:val="32"/>
        </w:rPr>
        <w:t>创建地区工作报告、技术报告、相关</w:t>
      </w:r>
      <w:r>
        <w:rPr>
          <w:rStyle w:val="11"/>
          <w:rFonts w:hint="eastAsia" w:ascii="仿宋_GB2312" w:eastAsia="仿宋_GB2312"/>
          <w:b w:val="0"/>
          <w:bCs/>
          <w:sz w:val="32"/>
          <w:szCs w:val="32"/>
        </w:rPr>
        <w:t>证明材料及必要的佐证材料</w:t>
      </w:r>
      <w:r>
        <w:rPr>
          <w:rFonts w:hint="eastAsia" w:ascii="仿宋_GB2312" w:eastAsia="仿宋_GB2312"/>
          <w:color w:val="000000"/>
          <w:sz w:val="32"/>
          <w:szCs w:val="32"/>
        </w:rPr>
        <w:t>等；在资料</w:t>
      </w:r>
      <w:r>
        <w:rPr>
          <w:rFonts w:hint="eastAsia" w:ascii="仿宋_GB2312" w:eastAsia="仿宋_GB2312"/>
          <w:sz w:val="32"/>
          <w:szCs w:val="32"/>
        </w:rPr>
        <w:t>审核阶段中</w:t>
      </w:r>
      <w:r>
        <w:rPr>
          <w:rFonts w:hint="eastAsia" w:ascii="仿宋_GB2312" w:eastAsia="仿宋_GB2312"/>
          <w:color w:val="000000"/>
          <w:sz w:val="32"/>
          <w:szCs w:val="32"/>
        </w:rPr>
        <w:t>发现需要现场核查的问题；</w:t>
      </w:r>
    </w:p>
    <w:p>
      <w:pPr>
        <w:pStyle w:val="8"/>
        <w:shd w:val="clear" w:color="auto" w:fill="FFFFFF"/>
        <w:spacing w:beforeAutospacing="0" w:afterAutospacing="0" w:line="600" w:lineRule="exact"/>
        <w:ind w:firstLine="640" w:firstLineChars="200"/>
        <w:jc w:val="both"/>
        <w:rPr>
          <w:rFonts w:ascii="仿宋_GB2312" w:eastAsia="仿宋_GB2312"/>
          <w:bCs/>
          <w:color w:val="000000"/>
          <w:sz w:val="32"/>
          <w:szCs w:val="32"/>
        </w:rPr>
      </w:pPr>
      <w:r>
        <w:rPr>
          <w:rFonts w:hint="eastAsia" w:ascii="仿宋_GB2312" w:eastAsia="仿宋_GB2312"/>
          <w:bCs/>
          <w:color w:val="000000"/>
          <w:sz w:val="32"/>
          <w:szCs w:val="32"/>
        </w:rPr>
        <w:t>（二）听取创建地区工作汇报，对有关部门、单位或个人开展走访问询或问卷调查等；</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（三）其他需要核查的内容。</w:t>
      </w:r>
      <w:bookmarkEnd w:id="9"/>
    </w:p>
    <w:p>
      <w:pPr>
        <w:pStyle w:val="8"/>
        <w:shd w:val="clear" w:color="auto" w:fill="FFFFFF"/>
        <w:spacing w:beforeAutospacing="0" w:afterAutospacing="0" w:line="600" w:lineRule="exact"/>
        <w:ind w:firstLine="640" w:firstLineChars="200"/>
        <w:jc w:val="both"/>
        <w:rPr>
          <w:rFonts w:ascii="仿宋_GB2312" w:eastAsia="仿宋_GB2312"/>
          <w:sz w:val="32"/>
          <w:szCs w:val="32"/>
        </w:rPr>
      </w:pPr>
      <w:r>
        <w:rPr>
          <w:rFonts w:hint="eastAsia" w:ascii="黑体" w:eastAsia="黑体" w:cs="黑体"/>
          <w:bCs/>
          <w:color w:val="000000"/>
          <w:sz w:val="32"/>
          <w:szCs w:val="32"/>
        </w:rPr>
        <w:t>第十九条</w:t>
      </w:r>
      <w:r>
        <w:rPr>
          <w:rFonts w:hint="eastAsia" w:ascii="仿宋_GB2312" w:eastAsia="仿宋_GB2312"/>
          <w:color w:val="000000"/>
          <w:sz w:val="32"/>
          <w:szCs w:val="32"/>
        </w:rPr>
        <w:t xml:space="preserve">  通过省级核查的地方，将在省生态环境厅官方网站、“两微”平台等对拟提交审议命名的地方予以公示，公示期不少于5个工作日</w:t>
      </w:r>
      <w:r>
        <w:rPr>
          <w:rFonts w:hint="eastAsia" w:ascii="仿宋_GB2312" w:eastAsia="仿宋_GB2312"/>
          <w:sz w:val="32"/>
          <w:szCs w:val="32"/>
        </w:rPr>
        <w:t>。</w:t>
      </w:r>
    </w:p>
    <w:p>
      <w:pPr>
        <w:pStyle w:val="8"/>
        <w:shd w:val="clear" w:color="auto" w:fill="FFFFFF"/>
        <w:spacing w:beforeAutospacing="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对公示期间收到投诉和举报的问题，由省生态环境厅或委托市（州）级生态环境主管部门组织调查核实。</w:t>
      </w:r>
    </w:p>
    <w:p>
      <w:pPr>
        <w:pStyle w:val="8"/>
        <w:shd w:val="clear" w:color="auto" w:fill="FFFFFF"/>
        <w:spacing w:beforeAutospacing="0" w:afterAutospacing="0" w:line="600" w:lineRule="exact"/>
        <w:ind w:firstLine="640" w:firstLineChars="200"/>
        <w:jc w:val="both"/>
        <w:rPr>
          <w:rFonts w:ascii="仿宋_GB2312" w:eastAsia="仿宋_GB2312"/>
          <w:sz w:val="32"/>
          <w:szCs w:val="32"/>
        </w:rPr>
      </w:pPr>
      <w:r>
        <w:rPr>
          <w:rFonts w:hint="eastAsia" w:ascii="黑体" w:eastAsia="黑体" w:cs="黑体"/>
          <w:bCs/>
          <w:sz w:val="32"/>
          <w:szCs w:val="32"/>
        </w:rPr>
        <w:t>第二十条</w:t>
      </w:r>
      <w:r>
        <w:rPr>
          <w:rFonts w:hint="eastAsia" w:ascii="仿宋_GB2312" w:eastAsia="仿宋_GB2312"/>
          <w:b/>
          <w:bCs/>
          <w:sz w:val="32"/>
          <w:szCs w:val="32"/>
        </w:rPr>
        <w:t xml:space="preserve">  </w:t>
      </w:r>
      <w:r>
        <w:rPr>
          <w:rFonts w:hint="eastAsia" w:ascii="仿宋_GB2312" w:eastAsia="仿宋_GB2312"/>
          <w:sz w:val="32"/>
          <w:szCs w:val="32"/>
        </w:rPr>
        <w:t>公示期间未收到投诉和举报，或投诉和举报问题经查不属实、查无实据、经认定得到有效解决的地区，省生态环境厅按程序审议通过后</w:t>
      </w:r>
      <w:r>
        <w:rPr>
          <w:rFonts w:ascii="仿宋_GB2312" w:eastAsia="仿宋_GB2312"/>
          <w:sz w:val="32"/>
          <w:szCs w:val="32"/>
        </w:rPr>
        <w:t>命名</w:t>
      </w:r>
      <w:r>
        <w:rPr>
          <w:rFonts w:hint="eastAsia" w:ascii="仿宋_GB2312" w:eastAsia="仿宋_GB2312"/>
          <w:sz w:val="32"/>
          <w:szCs w:val="32"/>
        </w:rPr>
        <w:t>，并进行授牌表彰。被命名授予的贵州省生态文明建设示范县称号，有效期3年。</w:t>
      </w:r>
    </w:p>
    <w:p>
      <w:pPr>
        <w:pStyle w:val="8"/>
        <w:shd w:val="clear" w:color="auto" w:fill="FFFFFF"/>
        <w:spacing w:beforeAutospacing="0" w:afterAutospacing="0" w:line="600" w:lineRule="exact"/>
        <w:ind w:firstLine="640" w:firstLineChars="200"/>
        <w:jc w:val="both"/>
        <w:rPr>
          <w:rFonts w:ascii="仿宋_GB2312" w:eastAsia="仿宋_GB2312"/>
          <w:color w:val="FF0000"/>
          <w:sz w:val="32"/>
          <w:szCs w:val="32"/>
        </w:rPr>
      </w:pPr>
      <w:r>
        <w:rPr>
          <w:rFonts w:hint="eastAsia" w:ascii="仿宋_GB2312" w:eastAsia="仿宋_GB2312"/>
          <w:sz w:val="32"/>
          <w:szCs w:val="32"/>
        </w:rPr>
        <w:t>省生态环境厅</w:t>
      </w:r>
      <w:r>
        <w:rPr>
          <w:rFonts w:ascii="仿宋_GB2312" w:eastAsia="仿宋_GB2312"/>
          <w:sz w:val="32"/>
          <w:szCs w:val="32"/>
        </w:rPr>
        <w:t>审定命名</w:t>
      </w:r>
      <w:r>
        <w:rPr>
          <w:rFonts w:hint="eastAsia" w:ascii="仿宋_GB2312" w:eastAsia="仿宋_GB2312"/>
          <w:sz w:val="32"/>
          <w:szCs w:val="32"/>
        </w:rPr>
        <w:t>前，</w:t>
      </w:r>
      <w:r>
        <w:rPr>
          <w:rFonts w:ascii="仿宋_GB2312" w:eastAsia="仿宋_GB2312"/>
          <w:sz w:val="32"/>
          <w:szCs w:val="32"/>
        </w:rPr>
        <w:t>创建地区</w:t>
      </w:r>
      <w:r>
        <w:rPr>
          <w:rFonts w:hint="eastAsia" w:ascii="仿宋_GB2312" w:eastAsia="仿宋_GB2312"/>
          <w:sz w:val="32"/>
          <w:szCs w:val="32"/>
        </w:rPr>
        <w:t>出现本规</w:t>
      </w:r>
      <w:r>
        <w:rPr>
          <w:rFonts w:hint="eastAsia" w:ascii="仿宋_GB2312" w:eastAsia="仿宋_GB2312"/>
          <w:color w:val="000000"/>
          <w:sz w:val="32"/>
          <w:szCs w:val="32"/>
        </w:rPr>
        <w:t>程</w:t>
      </w:r>
      <w:r>
        <w:rPr>
          <w:rFonts w:hint="eastAsia" w:ascii="仿宋_GB2312" w:eastAsia="仿宋_GB2312"/>
          <w:bCs/>
          <w:sz w:val="32"/>
          <w:szCs w:val="32"/>
        </w:rPr>
        <w:t>第十一条</w:t>
      </w:r>
      <w:r>
        <w:rPr>
          <w:rFonts w:hint="eastAsia" w:ascii="仿宋_GB2312" w:eastAsia="仿宋_GB2312"/>
          <w:color w:val="000000"/>
          <w:sz w:val="32"/>
          <w:szCs w:val="32"/>
        </w:rPr>
        <w:t>情形的，终止命名资格。</w:t>
      </w:r>
    </w:p>
    <w:p>
      <w:pPr>
        <w:pStyle w:val="8"/>
        <w:shd w:val="clear" w:color="auto" w:fill="FFFFFF"/>
        <w:spacing w:beforeAutospacing="0" w:afterAutospacing="0" w:line="600" w:lineRule="exact"/>
        <w:jc w:val="both"/>
        <w:rPr>
          <w:rStyle w:val="11"/>
          <w:rFonts w:ascii="仿宋_GB2312" w:eastAsia="仿宋_GB2312" w:cs="宋体"/>
          <w:bCs/>
          <w:color w:val="000000"/>
          <w:sz w:val="32"/>
          <w:szCs w:val="32"/>
        </w:rPr>
      </w:pPr>
    </w:p>
    <w:p>
      <w:pPr>
        <w:pStyle w:val="8"/>
        <w:shd w:val="clear" w:color="auto" w:fill="FFFFFF"/>
        <w:spacing w:beforeAutospacing="0" w:afterAutospacing="0" w:line="600" w:lineRule="exact"/>
        <w:jc w:val="center"/>
        <w:outlineLvl w:val="0"/>
        <w:rPr>
          <w:rStyle w:val="11"/>
          <w:rFonts w:ascii="黑体" w:eastAsia="黑体" w:cs="宋体"/>
          <w:b w:val="0"/>
          <w:bCs/>
          <w:color w:val="000000"/>
          <w:sz w:val="32"/>
          <w:szCs w:val="32"/>
        </w:rPr>
      </w:pPr>
      <w:r>
        <w:rPr>
          <w:rStyle w:val="11"/>
          <w:rFonts w:hint="eastAsia" w:ascii="黑体" w:eastAsia="黑体" w:cs="宋体"/>
          <w:b w:val="0"/>
          <w:bCs/>
          <w:color w:val="000000"/>
          <w:sz w:val="32"/>
          <w:szCs w:val="32"/>
        </w:rPr>
        <w:t>第五章</w:t>
      </w:r>
      <w:r>
        <w:rPr>
          <w:rStyle w:val="11"/>
          <w:rFonts w:ascii="黑体" w:eastAsia="黑体" w:cs="宋体"/>
          <w:b w:val="0"/>
          <w:bCs/>
          <w:color w:val="000000"/>
          <w:sz w:val="32"/>
          <w:szCs w:val="32"/>
        </w:rPr>
        <w:t xml:space="preserve">  </w:t>
      </w:r>
      <w:r>
        <w:rPr>
          <w:rStyle w:val="11"/>
          <w:rFonts w:hint="eastAsia" w:ascii="黑体" w:eastAsia="黑体" w:cs="宋体"/>
          <w:b w:val="0"/>
          <w:bCs/>
          <w:color w:val="000000"/>
          <w:sz w:val="32"/>
          <w:szCs w:val="32"/>
        </w:rPr>
        <w:t>监督管理</w:t>
      </w:r>
    </w:p>
    <w:p>
      <w:pPr>
        <w:pStyle w:val="8"/>
        <w:shd w:val="clear" w:color="auto" w:fill="FFFFFF"/>
        <w:spacing w:beforeAutospacing="0" w:afterAutospacing="0" w:line="600" w:lineRule="exact"/>
        <w:jc w:val="both"/>
        <w:rPr>
          <w:rStyle w:val="11"/>
          <w:rFonts w:ascii="黑体" w:eastAsia="黑体" w:cs="宋体"/>
          <w:b w:val="0"/>
          <w:bCs/>
          <w:color w:val="000000"/>
          <w:sz w:val="32"/>
          <w:szCs w:val="32"/>
        </w:rPr>
      </w:pPr>
    </w:p>
    <w:p>
      <w:pPr>
        <w:pStyle w:val="8"/>
        <w:shd w:val="clear" w:color="auto" w:fill="FFFFFF"/>
        <w:spacing w:beforeAutospacing="0" w:afterAutospacing="0" w:line="600" w:lineRule="exact"/>
        <w:ind w:firstLine="640" w:firstLineChars="200"/>
        <w:jc w:val="both"/>
        <w:rPr>
          <w:rStyle w:val="11"/>
          <w:rFonts w:ascii="仿宋_GB2312" w:eastAsia="仿宋_GB2312"/>
          <w:b w:val="0"/>
          <w:bCs/>
          <w:color w:val="000000"/>
          <w:sz w:val="32"/>
          <w:szCs w:val="32"/>
        </w:rPr>
      </w:pPr>
      <w:r>
        <w:rPr>
          <w:rFonts w:hint="eastAsia" w:ascii="黑体" w:eastAsia="黑体" w:cs="黑体"/>
          <w:bCs/>
          <w:color w:val="000000"/>
          <w:sz w:val="32"/>
          <w:szCs w:val="32"/>
        </w:rPr>
        <w:t xml:space="preserve">第二十一条 </w:t>
      </w:r>
      <w:r>
        <w:rPr>
          <w:rFonts w:ascii="仿宋_GB2312" w:eastAsia="仿宋_GB2312"/>
          <w:color w:val="000000"/>
          <w:sz w:val="32"/>
          <w:szCs w:val="32"/>
        </w:rPr>
        <w:t xml:space="preserve"> </w:t>
      </w:r>
      <w:r>
        <w:rPr>
          <w:rFonts w:hint="eastAsia" w:ascii="仿宋_GB2312" w:eastAsia="仿宋_GB2312"/>
          <w:sz w:val="32"/>
          <w:szCs w:val="32"/>
        </w:rPr>
        <w:t>省生态环境厅</w:t>
      </w:r>
      <w:r>
        <w:rPr>
          <w:rStyle w:val="11"/>
          <w:rFonts w:hint="eastAsia" w:ascii="仿宋_GB2312" w:eastAsia="仿宋_GB2312"/>
          <w:b w:val="0"/>
          <w:bCs/>
          <w:color w:val="000000"/>
          <w:sz w:val="32"/>
          <w:szCs w:val="32"/>
        </w:rPr>
        <w:t>对开展贵州省生态文明建设示范县创建的地区实行动态监督管理，</w:t>
      </w:r>
      <w:r>
        <w:rPr>
          <w:rFonts w:hint="eastAsia" w:ascii="仿宋_GB2312" w:eastAsia="仿宋_GB2312"/>
          <w:sz w:val="32"/>
          <w:szCs w:val="32"/>
        </w:rPr>
        <w:t>会同市（州）级生态环境主管部门做好创建地区日常指导，组织进行创建培训和考察学习，</w:t>
      </w:r>
      <w:r>
        <w:rPr>
          <w:rStyle w:val="11"/>
          <w:rFonts w:hint="eastAsia" w:ascii="仿宋_GB2312" w:eastAsia="仿宋_GB2312"/>
          <w:b w:val="0"/>
          <w:bCs/>
          <w:sz w:val="32"/>
          <w:szCs w:val="32"/>
        </w:rPr>
        <w:t>可根据需要进行不定期抽查与调度评估</w:t>
      </w:r>
      <w:r>
        <w:rPr>
          <w:rStyle w:val="11"/>
          <w:rFonts w:hint="eastAsia" w:ascii="仿宋_GB2312" w:eastAsia="仿宋_GB2312"/>
          <w:b w:val="0"/>
          <w:bCs/>
          <w:color w:val="000000"/>
          <w:sz w:val="32"/>
          <w:szCs w:val="32"/>
        </w:rPr>
        <w:t>，动态管理贯穿创建管理全过程。</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highlight w:val="red"/>
        </w:rPr>
      </w:pPr>
      <w:r>
        <w:rPr>
          <w:rFonts w:hint="eastAsia" w:ascii="黑体" w:eastAsia="黑体" w:cs="黑体"/>
          <w:bCs/>
          <w:color w:val="000000"/>
          <w:sz w:val="32"/>
          <w:szCs w:val="32"/>
        </w:rPr>
        <w:t xml:space="preserve">第二十二条 </w:t>
      </w:r>
      <w:r>
        <w:rPr>
          <w:rFonts w:ascii="仿宋_GB2312" w:eastAsia="仿宋_GB2312"/>
          <w:color w:val="000000"/>
          <w:sz w:val="32"/>
          <w:szCs w:val="32"/>
        </w:rPr>
        <w:t xml:space="preserve"> </w:t>
      </w:r>
      <w:r>
        <w:rPr>
          <w:rFonts w:hint="eastAsia" w:ascii="仿宋_GB2312" w:eastAsia="仿宋_GB2312"/>
          <w:color w:val="000000"/>
          <w:sz w:val="32"/>
          <w:szCs w:val="32"/>
        </w:rPr>
        <w:t>已获命名的贵州省生态文明建设示范县，应当持续深化创建工作</w:t>
      </w:r>
      <w:r>
        <w:rPr>
          <w:rFonts w:ascii="仿宋_GB2312" w:eastAsia="仿宋_GB2312"/>
          <w:color w:val="000000"/>
          <w:sz w:val="32"/>
          <w:szCs w:val="32"/>
        </w:rPr>
        <w:t>，</w:t>
      </w:r>
      <w:r>
        <w:rPr>
          <w:rFonts w:hint="eastAsia" w:ascii="仿宋_GB2312" w:eastAsia="仿宋_GB2312"/>
          <w:color w:val="000000"/>
          <w:sz w:val="32"/>
          <w:szCs w:val="32"/>
        </w:rPr>
        <w:t>巩固提升创建成果。</w:t>
      </w:r>
    </w:p>
    <w:p>
      <w:pPr>
        <w:pStyle w:val="8"/>
        <w:shd w:val="clear" w:color="auto" w:fill="FFFFFF"/>
        <w:spacing w:beforeAutospacing="0" w:afterAutospacing="0" w:line="600" w:lineRule="exact"/>
        <w:ind w:firstLine="640" w:firstLineChars="200"/>
        <w:jc w:val="both"/>
        <w:rPr>
          <w:rFonts w:ascii="仿宋_GB2312" w:eastAsia="仿宋_GB2312"/>
          <w:sz w:val="32"/>
          <w:szCs w:val="32"/>
        </w:rPr>
      </w:pPr>
      <w:r>
        <w:rPr>
          <w:rFonts w:hint="eastAsia" w:ascii="黑体" w:eastAsia="黑体" w:cs="黑体"/>
          <w:bCs/>
          <w:color w:val="000000"/>
          <w:sz w:val="32"/>
          <w:szCs w:val="32"/>
        </w:rPr>
        <w:t>第二十三条</w:t>
      </w:r>
      <w:r>
        <w:rPr>
          <w:rFonts w:ascii="仿宋_GB2312" w:eastAsia="仿宋_GB2312"/>
          <w:color w:val="000000"/>
          <w:sz w:val="32"/>
          <w:szCs w:val="32"/>
        </w:rPr>
        <w:t xml:space="preserve">  </w:t>
      </w:r>
      <w:r>
        <w:rPr>
          <w:rFonts w:hint="eastAsia" w:ascii="仿宋_GB2312" w:eastAsia="仿宋_GB2312"/>
          <w:sz w:val="32"/>
          <w:szCs w:val="32"/>
        </w:rPr>
        <w:t>省生态环境厅在规划有关生态环保政策、安排有关生态环境项目时，给予创建地区倾斜支持；对获得贵州省生态文明建设示范县称号的地区，通过现有省级生态环境专项资金给予一定的资金奖励、以奖促建。鼓励各市（州）和创建地区出台政策，建立形式多样的生态文明建设示范创建工作激励机制。</w:t>
      </w:r>
    </w:p>
    <w:p>
      <w:pPr>
        <w:pStyle w:val="8"/>
        <w:shd w:val="clear" w:color="auto" w:fill="FFFFFF"/>
        <w:spacing w:beforeAutospacing="0" w:afterAutospacing="0" w:line="600" w:lineRule="exact"/>
        <w:ind w:firstLine="640" w:firstLineChars="200"/>
        <w:jc w:val="both"/>
        <w:rPr>
          <w:rFonts w:ascii="仿宋_GB2312" w:eastAsia="仿宋_GB2312"/>
          <w:sz w:val="32"/>
          <w:szCs w:val="32"/>
        </w:rPr>
      </w:pPr>
      <w:r>
        <w:rPr>
          <w:rFonts w:hint="eastAsia" w:ascii="黑体" w:eastAsia="黑体" w:cs="黑体"/>
          <w:bCs/>
          <w:color w:val="000000"/>
          <w:sz w:val="32"/>
          <w:szCs w:val="32"/>
        </w:rPr>
        <w:t>第二十四条</w:t>
      </w:r>
      <w:r>
        <w:rPr>
          <w:rFonts w:ascii="仿宋_GB2312" w:eastAsia="仿宋_GB2312"/>
          <w:color w:val="000000"/>
          <w:sz w:val="32"/>
          <w:szCs w:val="32"/>
        </w:rPr>
        <w:t xml:space="preserve">  </w:t>
      </w:r>
      <w:r>
        <w:rPr>
          <w:rFonts w:hint="eastAsia" w:ascii="仿宋_GB2312" w:eastAsia="仿宋_GB2312"/>
          <w:sz w:val="32"/>
          <w:szCs w:val="32"/>
        </w:rPr>
        <w:t>省生态环境厅在向生态环境部推荐申报国家生态文明建设示范县时，原则上在已获贵州省生态文明建设示范县命名的地区中择优推荐。</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黑体" w:eastAsia="黑体" w:cs="黑体"/>
          <w:bCs/>
          <w:color w:val="000000"/>
          <w:sz w:val="32"/>
          <w:szCs w:val="32"/>
        </w:rPr>
        <w:t>第二十五条</w:t>
      </w:r>
      <w:r>
        <w:rPr>
          <w:rFonts w:ascii="仿宋_GB2312" w:eastAsia="仿宋_GB2312"/>
          <w:color w:val="000000"/>
          <w:sz w:val="32"/>
          <w:szCs w:val="32"/>
        </w:rPr>
        <w:t xml:space="preserve">  </w:t>
      </w:r>
      <w:r>
        <w:rPr>
          <w:rFonts w:hint="eastAsia" w:ascii="仿宋_GB2312" w:eastAsia="仿宋_GB2312"/>
          <w:sz w:val="32"/>
          <w:szCs w:val="32"/>
        </w:rPr>
        <w:t>省生态环境厅及</w:t>
      </w:r>
      <w:r>
        <w:rPr>
          <w:rFonts w:hint="eastAsia" w:ascii="仿宋_GB2312" w:eastAsia="仿宋_GB2312"/>
          <w:color w:val="000000"/>
          <w:sz w:val="32"/>
          <w:szCs w:val="32"/>
        </w:rPr>
        <w:t>市（州）级政府协调有关宣传资源，对获得命名的地方进行宣传报道，发挥示范样板的辐射带动作用。</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黑体" w:eastAsia="黑体" w:cs="黑体"/>
          <w:bCs/>
          <w:color w:val="000000"/>
          <w:sz w:val="32"/>
          <w:szCs w:val="32"/>
        </w:rPr>
        <w:t>第二十六条</w:t>
      </w:r>
      <w:r>
        <w:rPr>
          <w:rFonts w:ascii="仿宋_GB2312" w:eastAsia="仿宋_GB2312"/>
          <w:color w:val="000000"/>
          <w:sz w:val="32"/>
          <w:szCs w:val="32"/>
        </w:rPr>
        <w:t xml:space="preserve">  </w:t>
      </w:r>
      <w:r>
        <w:rPr>
          <w:rFonts w:hint="eastAsia" w:ascii="仿宋_GB2312" w:eastAsia="仿宋_GB2312"/>
          <w:sz w:val="32"/>
          <w:szCs w:val="32"/>
        </w:rPr>
        <w:t>对获命名满</w:t>
      </w:r>
      <w:r>
        <w:rPr>
          <w:rFonts w:ascii="仿宋_GB2312" w:eastAsia="仿宋_GB2312"/>
          <w:sz w:val="32"/>
          <w:szCs w:val="32"/>
        </w:rPr>
        <w:t>3</w:t>
      </w:r>
      <w:r>
        <w:rPr>
          <w:rFonts w:hint="eastAsia" w:ascii="仿宋_GB2312" w:eastAsia="仿宋_GB2312"/>
          <w:sz w:val="32"/>
          <w:szCs w:val="32"/>
        </w:rPr>
        <w:t>年的地区，参照建设指标进行复核（如建设指标发生调整，按调整后建设指标进行复核）。</w:t>
      </w:r>
      <w:r>
        <w:rPr>
          <w:rFonts w:hint="eastAsia" w:ascii="仿宋_GB2312" w:eastAsia="仿宋_GB2312"/>
          <w:color w:val="000000"/>
          <w:sz w:val="32"/>
          <w:szCs w:val="32"/>
        </w:rPr>
        <w:t>复核合格的</w:t>
      </w:r>
      <w:r>
        <w:rPr>
          <w:rFonts w:hint="eastAsia" w:ascii="仿宋_GB2312" w:eastAsia="仿宋_GB2312"/>
          <w:sz w:val="32"/>
          <w:szCs w:val="32"/>
        </w:rPr>
        <w:t>地区，由省生态环境厅按程序审议通过后，其贵州省生态文</w:t>
      </w:r>
      <w:r>
        <w:rPr>
          <w:rFonts w:hint="eastAsia" w:ascii="仿宋_GB2312" w:eastAsia="仿宋_GB2312"/>
          <w:color w:val="000000"/>
          <w:sz w:val="32"/>
          <w:szCs w:val="32"/>
        </w:rPr>
        <w:t>明建设示范县称号有效期延续</w:t>
      </w:r>
      <w:r>
        <w:rPr>
          <w:rFonts w:ascii="仿宋_GB2312" w:eastAsia="仿宋_GB2312"/>
          <w:color w:val="000000"/>
          <w:sz w:val="32"/>
          <w:szCs w:val="32"/>
        </w:rPr>
        <w:t>3</w:t>
      </w:r>
      <w:r>
        <w:rPr>
          <w:rFonts w:hint="eastAsia" w:ascii="仿宋_GB2312" w:eastAsia="仿宋_GB2312"/>
          <w:color w:val="000000"/>
          <w:sz w:val="32"/>
          <w:szCs w:val="32"/>
        </w:rPr>
        <w:t>年。</w:t>
      </w:r>
    </w:p>
    <w:p>
      <w:pPr>
        <w:pStyle w:val="8"/>
        <w:shd w:val="clear" w:color="auto" w:fill="FFFFFF"/>
        <w:spacing w:beforeAutospacing="0" w:afterAutospacing="0" w:line="600" w:lineRule="exact"/>
        <w:ind w:firstLine="640" w:firstLineChars="200"/>
        <w:jc w:val="both"/>
        <w:rPr>
          <w:rStyle w:val="11"/>
          <w:rFonts w:ascii="仿宋_GB2312" w:eastAsia="仿宋_GB2312" w:cs="宋体"/>
          <w:bCs/>
          <w:color w:val="000000"/>
          <w:sz w:val="32"/>
          <w:szCs w:val="32"/>
        </w:rPr>
      </w:pPr>
      <w:r>
        <w:rPr>
          <w:rFonts w:hint="eastAsia" w:ascii="仿宋_GB2312" w:eastAsia="仿宋_GB2312"/>
          <w:color w:val="000000"/>
          <w:sz w:val="32"/>
          <w:szCs w:val="32"/>
        </w:rPr>
        <w:t>因行政区划发生重大调整的，其贵州省生态文明建设示范县荣誉称号自行终止。</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黑体" w:eastAsia="黑体" w:cs="黑体"/>
          <w:bCs/>
          <w:color w:val="000000"/>
          <w:sz w:val="32"/>
          <w:szCs w:val="32"/>
        </w:rPr>
        <w:t>第二十七条</w:t>
      </w:r>
      <w:r>
        <w:rPr>
          <w:rStyle w:val="11"/>
          <w:rFonts w:ascii="仿宋_GB2312" w:eastAsia="仿宋_GB2312" w:cs="宋体"/>
          <w:bCs/>
          <w:color w:val="000000"/>
          <w:sz w:val="32"/>
          <w:szCs w:val="32"/>
        </w:rPr>
        <w:t xml:space="preserve">  </w:t>
      </w:r>
      <w:r>
        <w:rPr>
          <w:rStyle w:val="11"/>
          <w:rFonts w:hint="eastAsia" w:ascii="仿宋_GB2312" w:eastAsia="仿宋_GB2312" w:cs="宋体"/>
          <w:b w:val="0"/>
          <w:color w:val="000000"/>
          <w:sz w:val="32"/>
          <w:szCs w:val="32"/>
        </w:rPr>
        <w:t>已</w:t>
      </w:r>
      <w:r>
        <w:rPr>
          <w:rFonts w:hint="eastAsia" w:ascii="仿宋_GB2312" w:eastAsia="仿宋_GB2312"/>
          <w:color w:val="000000"/>
          <w:sz w:val="32"/>
          <w:szCs w:val="32"/>
        </w:rPr>
        <w:t>获得贵州省生态文明建设示范县称号的地区，出现下列情形之一的，视情节轻重，由省生态环境厅提出警告或撤销其相应称号。</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（一）生态环境质量出现下降趋势或明显下降的；</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（二）未按期完成国家和省下达的生态环境质量、生态环境保护规划、污染防治攻坚战等生态环境保护重点工作任务的；</w:t>
      </w:r>
    </w:p>
    <w:p>
      <w:pPr>
        <w:spacing w:line="560" w:lineRule="exact"/>
        <w:ind w:firstLine="640"/>
        <w:rPr>
          <w:rFonts w:ascii="仿宋_GB2312" w:eastAsia="仿宋_GB2312" w:cs="宋体"/>
          <w:color w:val="000000"/>
          <w:kern w:val="0"/>
          <w:sz w:val="32"/>
          <w:szCs w:val="32"/>
        </w:rPr>
      </w:pPr>
      <w:r>
        <w:rPr>
          <w:rFonts w:hint="eastAsia" w:ascii="仿宋_GB2312" w:eastAsia="仿宋_GB2312" w:cs="宋体"/>
          <w:color w:val="000000"/>
          <w:kern w:val="0"/>
          <w:sz w:val="32"/>
          <w:szCs w:val="32"/>
        </w:rPr>
        <w:t>（三）</w:t>
      </w:r>
      <w:r>
        <w:rPr>
          <w:rFonts w:hint="eastAsia" w:ascii="仿宋_GB2312" w:eastAsia="仿宋_GB2312"/>
          <w:color w:val="000000"/>
          <w:sz w:val="32"/>
          <w:szCs w:val="32"/>
        </w:rPr>
        <w:t>中央生态环境保护督察、生态环境部组织的各类专项督查及省委生态环境保护督察</w:t>
      </w:r>
      <w:r>
        <w:rPr>
          <w:rFonts w:hint="eastAsia" w:ascii="仿宋_GB2312" w:eastAsia="仿宋_GB2312" w:cs="宋体"/>
          <w:color w:val="000000"/>
          <w:kern w:val="0"/>
          <w:sz w:val="32"/>
          <w:szCs w:val="32"/>
        </w:rPr>
        <w:t>发现的问题未按计划完成整改任务的；</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（四）发生重、特大突发环境事件或生态破坏事件，以及因重大生态环境问题被生态环境部及省级挂牌督办或实施区域限批的；</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（五）未通过省生态环境厅组织复核的，或在复核过程中存在弄虚作假行为的；</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highlight w:val="lightGray"/>
        </w:rPr>
      </w:pPr>
      <w:r>
        <w:rPr>
          <w:rFonts w:hint="eastAsia" w:ascii="仿宋_GB2312" w:eastAsia="仿宋_GB2312"/>
          <w:color w:val="000000"/>
          <w:sz w:val="32"/>
          <w:szCs w:val="32"/>
        </w:rPr>
        <w:t>（六）其他应予提出警告或撤销称号的情形的。</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黑体" w:eastAsia="黑体" w:cs="黑体"/>
          <w:bCs/>
          <w:color w:val="000000"/>
          <w:sz w:val="32"/>
          <w:szCs w:val="32"/>
        </w:rPr>
        <w:t>第二十八条</w:t>
      </w:r>
      <w:r>
        <w:rPr>
          <w:rFonts w:ascii="仿宋_GB2312" w:eastAsia="仿宋_GB2312"/>
          <w:color w:val="000000"/>
          <w:sz w:val="32"/>
          <w:szCs w:val="32"/>
        </w:rPr>
        <w:t xml:space="preserve">  </w:t>
      </w:r>
      <w:r>
        <w:rPr>
          <w:rFonts w:hint="eastAsia" w:ascii="仿宋_GB2312" w:eastAsia="仿宋_GB2312"/>
          <w:color w:val="000000"/>
          <w:sz w:val="32"/>
          <w:szCs w:val="32"/>
        </w:rPr>
        <w:t>省生态环境厅建立生态文明建设示范县咨询服务专家库，辅助支持贵州省生态文明示范创建管理；市（州）根据实际建立自身的技术支持。</w:t>
      </w:r>
    </w:p>
    <w:p>
      <w:pPr>
        <w:pStyle w:val="8"/>
        <w:shd w:val="clear" w:color="auto" w:fill="FFFFFF"/>
        <w:spacing w:beforeAutospacing="0" w:afterAutospacing="0" w:line="600" w:lineRule="exact"/>
        <w:ind w:firstLine="640" w:firstLineChars="200"/>
        <w:jc w:val="both"/>
        <w:rPr>
          <w:rFonts w:ascii="仿宋_GB2312" w:eastAsia="仿宋_GB2312"/>
          <w:color w:val="000000"/>
          <w:sz w:val="32"/>
          <w:szCs w:val="32"/>
        </w:rPr>
      </w:pPr>
      <w:r>
        <w:rPr>
          <w:rFonts w:hint="eastAsia" w:ascii="黑体" w:eastAsia="黑体" w:cs="黑体"/>
          <w:bCs/>
          <w:color w:val="000000"/>
          <w:sz w:val="32"/>
          <w:szCs w:val="32"/>
        </w:rPr>
        <w:t>第二十九条</w:t>
      </w:r>
      <w:r>
        <w:rPr>
          <w:rFonts w:ascii="仿宋_GB2312" w:eastAsia="仿宋_GB2312"/>
          <w:color w:val="000000"/>
          <w:sz w:val="32"/>
          <w:szCs w:val="32"/>
        </w:rPr>
        <w:t xml:space="preserve">  </w:t>
      </w:r>
      <w:r>
        <w:rPr>
          <w:rFonts w:hint="eastAsia" w:ascii="仿宋_GB2312" w:eastAsia="仿宋_GB2312"/>
          <w:color w:val="000000"/>
          <w:sz w:val="32"/>
          <w:szCs w:val="32"/>
        </w:rPr>
        <w:t>参与贵州省生态文明建设示范县创建管理的工作人员和专家，在各环节工作中，必须严格遵守中央八项规定和省委十项规定及其实施细则精神，认真落实廉洁自律要求和责任，坚持科学、务实、高效的工作作风，严格遵守相关工作程序和规范。构成违纪、违法或犯罪的，依纪依法追究责任。</w:t>
      </w:r>
    </w:p>
    <w:p>
      <w:pPr>
        <w:pStyle w:val="8"/>
        <w:shd w:val="clear" w:color="auto" w:fill="FFFFFF"/>
        <w:spacing w:beforeAutospacing="0" w:afterAutospacing="0" w:line="600" w:lineRule="exact"/>
        <w:jc w:val="both"/>
        <w:rPr>
          <w:rStyle w:val="11"/>
          <w:rFonts w:ascii="仿宋_GB2312" w:eastAsia="仿宋_GB2312" w:cs="宋体"/>
          <w:bCs/>
          <w:color w:val="000000"/>
          <w:sz w:val="32"/>
          <w:szCs w:val="32"/>
        </w:rPr>
      </w:pPr>
    </w:p>
    <w:p>
      <w:pPr>
        <w:pStyle w:val="8"/>
        <w:shd w:val="clear" w:color="auto" w:fill="FFFFFF"/>
        <w:spacing w:beforeAutospacing="0" w:afterAutospacing="0" w:line="600" w:lineRule="exact"/>
        <w:jc w:val="center"/>
        <w:outlineLvl w:val="0"/>
        <w:rPr>
          <w:rStyle w:val="11"/>
          <w:rFonts w:ascii="黑体" w:eastAsia="黑体" w:cs="宋体"/>
          <w:b w:val="0"/>
          <w:bCs/>
          <w:color w:val="000000"/>
          <w:sz w:val="32"/>
          <w:szCs w:val="32"/>
        </w:rPr>
      </w:pPr>
      <w:r>
        <w:rPr>
          <w:rStyle w:val="11"/>
          <w:rFonts w:hint="eastAsia" w:ascii="黑体" w:eastAsia="黑体" w:cs="宋体"/>
          <w:b w:val="0"/>
          <w:bCs/>
          <w:color w:val="000000"/>
          <w:sz w:val="32"/>
          <w:szCs w:val="32"/>
        </w:rPr>
        <w:t>第六章</w:t>
      </w:r>
      <w:r>
        <w:rPr>
          <w:rStyle w:val="11"/>
          <w:rFonts w:ascii="黑体" w:eastAsia="黑体" w:cs="宋体"/>
          <w:b w:val="0"/>
          <w:bCs/>
          <w:color w:val="000000"/>
          <w:sz w:val="32"/>
          <w:szCs w:val="32"/>
        </w:rPr>
        <w:t xml:space="preserve">  </w:t>
      </w:r>
      <w:r>
        <w:rPr>
          <w:rStyle w:val="11"/>
          <w:rFonts w:hint="eastAsia" w:ascii="黑体" w:eastAsia="黑体" w:cs="宋体"/>
          <w:b w:val="0"/>
          <w:bCs/>
          <w:color w:val="000000"/>
          <w:sz w:val="32"/>
          <w:szCs w:val="32"/>
        </w:rPr>
        <w:t>附</w:t>
      </w:r>
      <w:r>
        <w:rPr>
          <w:rStyle w:val="11"/>
          <w:rFonts w:ascii="黑体" w:eastAsia="黑体" w:cs="宋体"/>
          <w:b w:val="0"/>
          <w:bCs/>
          <w:color w:val="000000"/>
          <w:sz w:val="32"/>
          <w:szCs w:val="32"/>
        </w:rPr>
        <w:t xml:space="preserve">  </w:t>
      </w:r>
      <w:r>
        <w:rPr>
          <w:rStyle w:val="11"/>
          <w:rFonts w:hint="eastAsia" w:ascii="黑体" w:eastAsia="黑体" w:cs="宋体"/>
          <w:b w:val="0"/>
          <w:bCs/>
          <w:color w:val="000000"/>
          <w:sz w:val="32"/>
          <w:szCs w:val="32"/>
        </w:rPr>
        <w:t>则</w:t>
      </w:r>
    </w:p>
    <w:p>
      <w:pPr>
        <w:pStyle w:val="8"/>
        <w:shd w:val="clear" w:color="auto" w:fill="FFFFFF"/>
        <w:spacing w:beforeAutospacing="0" w:afterAutospacing="0" w:line="600" w:lineRule="exact"/>
        <w:jc w:val="both"/>
        <w:rPr>
          <w:rStyle w:val="11"/>
          <w:rFonts w:ascii="黑体" w:eastAsia="黑体" w:cs="宋体"/>
          <w:b w:val="0"/>
          <w:bCs/>
          <w:color w:val="000000"/>
          <w:sz w:val="32"/>
          <w:szCs w:val="32"/>
        </w:rPr>
      </w:pPr>
    </w:p>
    <w:p>
      <w:pPr>
        <w:ind w:firstLine="640" w:firstLineChars="200"/>
        <w:rPr>
          <w:rFonts w:ascii="仿宋_GB2312" w:eastAsia="仿宋_GB2312"/>
          <w:color w:val="000000"/>
          <w:sz w:val="32"/>
          <w:szCs w:val="32"/>
        </w:rPr>
      </w:pPr>
      <w:r>
        <w:rPr>
          <w:rFonts w:hint="eastAsia" w:ascii="黑体" w:eastAsia="黑体" w:cs="黑体"/>
          <w:bCs/>
          <w:color w:val="000000"/>
          <w:kern w:val="0"/>
          <w:sz w:val="32"/>
          <w:szCs w:val="32"/>
        </w:rPr>
        <w:t>第三十条</w:t>
      </w:r>
      <w:r>
        <w:rPr>
          <w:rFonts w:ascii="仿宋_GB2312" w:eastAsia="仿宋_GB2312"/>
          <w:color w:val="000000"/>
          <w:sz w:val="32"/>
          <w:szCs w:val="32"/>
        </w:rPr>
        <w:t xml:space="preserve">  </w:t>
      </w:r>
      <w:r>
        <w:rPr>
          <w:rFonts w:hint="eastAsia" w:ascii="仿宋_GB2312" w:eastAsia="仿宋_GB2312"/>
          <w:color w:val="000000"/>
          <w:sz w:val="32"/>
          <w:szCs w:val="32"/>
        </w:rPr>
        <w:t>本规程自印发之日起开始试行实施，由省生态环境厅负责解释。本规程根据形势发展变化需要，适时进行调整。</w:t>
      </w:r>
    </w:p>
    <w:p>
      <w:pPr>
        <w:ind w:firstLine="640" w:firstLineChars="200"/>
        <w:rPr>
          <w:rFonts w:ascii="仿宋_GB2312" w:eastAsia="仿宋_GB2312" w:cs="仿宋_GB2312"/>
          <w:sz w:val="32"/>
          <w:szCs w:val="32"/>
        </w:rPr>
      </w:pPr>
      <w:r>
        <w:rPr>
          <w:rFonts w:hint="eastAsia" w:ascii="仿宋_GB2312" w:eastAsia="仿宋_GB2312"/>
          <w:color w:val="000000"/>
          <w:sz w:val="32"/>
          <w:szCs w:val="32"/>
        </w:rPr>
        <w:t>原《</w:t>
      </w:r>
      <w:r>
        <w:rPr>
          <w:rFonts w:hint="eastAsia" w:ascii="仿宋_GB2312" w:eastAsia="仿宋_GB2312" w:cs="仿宋_GB2312"/>
          <w:sz w:val="32"/>
          <w:szCs w:val="32"/>
        </w:rPr>
        <w:t>贵州省生态县建设标准（试行）》（黔环通〔2011〕65号）同时废止。</w:t>
      </w:r>
    </w:p>
    <w:p>
      <w:pPr>
        <w:jc w:val="left"/>
        <w:rPr>
          <w:rFonts w:ascii="仿宋_GB2312" w:eastAsia="仿宋_GB2312" w:cs="仿宋_GB2312"/>
          <w:sz w:val="32"/>
          <w:szCs w:val="32"/>
        </w:rPr>
      </w:pPr>
      <w:r>
        <w:rPr>
          <w:rFonts w:hint="eastAsia" w:ascii="仿宋_GB2312" w:eastAsia="仿宋_GB2312" w:cs="仿宋_GB2312"/>
          <w:sz w:val="32"/>
          <w:szCs w:val="32"/>
        </w:rPr>
        <w:br w:type="page"/>
      </w:r>
    </w:p>
    <w:p>
      <w:pPr>
        <w:rPr>
          <w:rFonts w:ascii="黑体" w:hAnsi="黑体" w:eastAsia="黑体" w:cs="黑体"/>
          <w:color w:val="000000"/>
          <w:sz w:val="32"/>
          <w:szCs w:val="32"/>
        </w:rPr>
      </w:pPr>
      <w:r>
        <w:rPr>
          <w:rFonts w:hint="eastAsia" w:ascii="黑体" w:hAnsi="黑体" w:eastAsia="黑体" w:cs="黑体"/>
          <w:color w:val="000000"/>
          <w:sz w:val="32"/>
          <w:szCs w:val="32"/>
        </w:rPr>
        <w:t>附表</w:t>
      </w:r>
    </w:p>
    <w:p>
      <w:pPr>
        <w:spacing w:beforeLines="100" w:afterLines="100"/>
        <w:jc w:val="center"/>
        <w:outlineLvl w:val="0"/>
        <w:rPr>
          <w:rFonts w:ascii="Times New Roman" w:hAnsi="Times New Roman" w:eastAsia="黑体"/>
          <w:sz w:val="32"/>
          <w:szCs w:val="24"/>
        </w:rPr>
      </w:pPr>
      <w:bookmarkStart w:id="10" w:name="_Toc1429626328_WPSOffice_Level1"/>
      <w:r>
        <w:rPr>
          <w:rFonts w:hint="eastAsia" w:ascii="方正小标宋简体" w:hAnsi="方正小标宋简体" w:eastAsia="方正小标宋简体" w:cs="方正小标宋简体"/>
          <w:sz w:val="44"/>
          <w:szCs w:val="44"/>
        </w:rPr>
        <w:t>《贵州省生态文明建设示范县建设指标</w:t>
      </w:r>
      <w:bookmarkEnd w:id="10"/>
      <w:r>
        <w:rPr>
          <w:rFonts w:hint="eastAsia" w:ascii="方正小标宋简体" w:hAnsi="方正小标宋简体" w:eastAsia="方正小标宋简体" w:cs="方正小标宋简体"/>
          <w:sz w:val="44"/>
          <w:szCs w:val="44"/>
        </w:rPr>
        <w:t>》</w:t>
      </w:r>
    </w:p>
    <w:tbl>
      <w:tblPr>
        <w:tblStyle w:val="9"/>
        <w:tblW w:w="9307" w:type="dxa"/>
        <w:jc w:val="center"/>
        <w:tblLayout w:type="fixed"/>
        <w:tblCellMar>
          <w:top w:w="0" w:type="dxa"/>
          <w:left w:w="108" w:type="dxa"/>
          <w:bottom w:w="0" w:type="dxa"/>
          <w:right w:w="108" w:type="dxa"/>
        </w:tblCellMar>
      </w:tblPr>
      <w:tblGrid>
        <w:gridCol w:w="705"/>
        <w:gridCol w:w="795"/>
        <w:gridCol w:w="810"/>
        <w:gridCol w:w="3390"/>
        <w:gridCol w:w="2527"/>
        <w:gridCol w:w="1080"/>
      </w:tblGrid>
      <w:tr>
        <w:tblPrEx>
          <w:tblCellMar>
            <w:top w:w="0" w:type="dxa"/>
            <w:left w:w="108" w:type="dxa"/>
            <w:bottom w:w="0" w:type="dxa"/>
            <w:right w:w="108" w:type="dxa"/>
          </w:tblCellMar>
        </w:tblPrEx>
        <w:trPr>
          <w:trHeight w:val="567" w:hRule="atLeast"/>
          <w:tblHeader/>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eastAsia="黑体" w:cs="黑体"/>
                <w:bCs/>
                <w:kern w:val="0"/>
                <w:szCs w:val="21"/>
              </w:rPr>
            </w:pPr>
            <w:r>
              <w:rPr>
                <w:rFonts w:hint="eastAsia" w:ascii="黑体" w:eastAsia="黑体" w:cs="黑体"/>
                <w:bCs/>
                <w:kern w:val="0"/>
                <w:szCs w:val="21"/>
              </w:rPr>
              <w:t>领域</w:t>
            </w:r>
          </w:p>
        </w:tc>
        <w:tc>
          <w:tcPr>
            <w:tcW w:w="795" w:type="dxa"/>
            <w:tcBorders>
              <w:top w:val="single" w:color="auto" w:sz="4" w:space="0"/>
              <w:left w:val="nil"/>
              <w:bottom w:val="single" w:color="auto" w:sz="4" w:space="0"/>
              <w:right w:val="single" w:color="auto" w:sz="4" w:space="0"/>
            </w:tcBorders>
            <w:noWrap/>
            <w:vAlign w:val="center"/>
          </w:tcPr>
          <w:p>
            <w:pPr>
              <w:widowControl/>
              <w:jc w:val="center"/>
              <w:rPr>
                <w:rFonts w:ascii="黑体" w:eastAsia="黑体" w:cs="黑体"/>
                <w:bCs/>
                <w:kern w:val="0"/>
                <w:szCs w:val="21"/>
              </w:rPr>
            </w:pPr>
            <w:r>
              <w:rPr>
                <w:rFonts w:hint="eastAsia" w:ascii="黑体" w:eastAsia="黑体" w:cs="黑体"/>
                <w:bCs/>
                <w:kern w:val="0"/>
                <w:szCs w:val="21"/>
              </w:rPr>
              <w:t>任务</w:t>
            </w:r>
          </w:p>
        </w:tc>
        <w:tc>
          <w:tcPr>
            <w:tcW w:w="810" w:type="dxa"/>
            <w:tcBorders>
              <w:top w:val="single" w:color="auto" w:sz="4" w:space="0"/>
              <w:left w:val="nil"/>
              <w:bottom w:val="single" w:color="auto" w:sz="4" w:space="0"/>
              <w:right w:val="single" w:color="auto" w:sz="4" w:space="0"/>
            </w:tcBorders>
            <w:noWrap/>
            <w:vAlign w:val="center"/>
          </w:tcPr>
          <w:p>
            <w:pPr>
              <w:widowControl/>
              <w:jc w:val="center"/>
              <w:rPr>
                <w:rFonts w:ascii="黑体" w:eastAsia="黑体" w:cs="黑体"/>
                <w:bCs/>
                <w:kern w:val="0"/>
                <w:szCs w:val="21"/>
              </w:rPr>
            </w:pPr>
            <w:r>
              <w:rPr>
                <w:rFonts w:hint="eastAsia" w:ascii="黑体" w:eastAsia="黑体" w:cs="黑体"/>
                <w:bCs/>
                <w:kern w:val="0"/>
                <w:szCs w:val="21"/>
              </w:rPr>
              <w:t>序号</w:t>
            </w:r>
          </w:p>
        </w:tc>
        <w:tc>
          <w:tcPr>
            <w:tcW w:w="3390" w:type="dxa"/>
            <w:tcBorders>
              <w:top w:val="single" w:color="auto" w:sz="4" w:space="0"/>
              <w:left w:val="nil"/>
              <w:bottom w:val="single" w:color="auto" w:sz="4" w:space="0"/>
              <w:right w:val="single" w:color="auto" w:sz="4" w:space="0"/>
            </w:tcBorders>
            <w:noWrap/>
            <w:vAlign w:val="center"/>
          </w:tcPr>
          <w:p>
            <w:pPr>
              <w:widowControl/>
              <w:jc w:val="center"/>
              <w:rPr>
                <w:rFonts w:ascii="黑体" w:eastAsia="黑体" w:cs="黑体"/>
                <w:bCs/>
                <w:kern w:val="0"/>
                <w:szCs w:val="21"/>
              </w:rPr>
            </w:pPr>
            <w:r>
              <w:rPr>
                <w:rFonts w:hint="eastAsia" w:ascii="黑体" w:eastAsia="黑体" w:cs="黑体"/>
                <w:bCs/>
                <w:kern w:val="0"/>
                <w:szCs w:val="21"/>
              </w:rPr>
              <w:t>指标名称</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黑体" w:eastAsia="黑体" w:cs="黑体"/>
                <w:bCs/>
                <w:kern w:val="0"/>
                <w:szCs w:val="21"/>
              </w:rPr>
            </w:pPr>
            <w:r>
              <w:rPr>
                <w:rFonts w:hint="eastAsia" w:ascii="黑体" w:eastAsia="黑体" w:cs="黑体"/>
                <w:bCs/>
                <w:kern w:val="0"/>
                <w:szCs w:val="21"/>
              </w:rPr>
              <w:t>指标值或要求</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eastAsia="黑体" w:cs="黑体"/>
                <w:bCs/>
                <w:kern w:val="0"/>
                <w:szCs w:val="21"/>
              </w:rPr>
            </w:pPr>
            <w:r>
              <w:rPr>
                <w:rFonts w:hint="eastAsia" w:ascii="黑体" w:eastAsia="黑体" w:cs="黑体"/>
                <w:bCs/>
                <w:kern w:val="0"/>
                <w:szCs w:val="21"/>
              </w:rPr>
              <w:t>指标属性</w:t>
            </w:r>
          </w:p>
        </w:tc>
      </w:tr>
      <w:tr>
        <w:tblPrEx>
          <w:tblCellMar>
            <w:top w:w="0" w:type="dxa"/>
            <w:left w:w="108" w:type="dxa"/>
            <w:bottom w:w="0" w:type="dxa"/>
            <w:right w:w="108" w:type="dxa"/>
          </w:tblCellMar>
        </w:tblPrEx>
        <w:trPr>
          <w:trHeight w:val="567" w:hRule="atLeast"/>
          <w:jc w:val="center"/>
        </w:trPr>
        <w:tc>
          <w:tcPr>
            <w:tcW w:w="70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生态制度</w:t>
            </w:r>
          </w:p>
        </w:tc>
        <w:tc>
          <w:tcPr>
            <w:tcW w:w="795" w:type="dxa"/>
            <w:vMerge w:val="restart"/>
            <w:tcBorders>
              <w:top w:val="nil"/>
              <w:left w:val="nil"/>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（一）目标责任体系与制度建设</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生态文明建设规划</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制定实施</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党委政府对生态文明建设重大目标任务部署情况</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有效开展</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3</w:t>
            </w:r>
          </w:p>
        </w:tc>
        <w:tc>
          <w:tcPr>
            <w:tcW w:w="3390" w:type="dxa"/>
            <w:tcBorders>
              <w:top w:val="nil"/>
              <w:left w:val="nil"/>
              <w:bottom w:val="single" w:color="auto" w:sz="4" w:space="0"/>
              <w:right w:val="single" w:color="auto" w:sz="4" w:space="0"/>
            </w:tcBorders>
            <w:noWrap/>
            <w:vAlign w:val="center"/>
          </w:tcPr>
          <w:p>
            <w:pPr>
              <w:rPr>
                <w:rFonts w:ascii="Times New Roman" w:hAnsi="Times New Roman"/>
                <w:kern w:val="0"/>
                <w:szCs w:val="21"/>
              </w:rPr>
            </w:pPr>
            <w:r>
              <w:rPr>
                <w:rFonts w:ascii="Times New Roman" w:hAnsi="Times New Roman"/>
                <w:kern w:val="0"/>
                <w:szCs w:val="21"/>
              </w:rPr>
              <w:t>生态文明建设工作占党政实绩考核的比例</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4</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河长制</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全面实施</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5</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生态环境信息公开</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应公开尽公开</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6</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b/>
                <w:bCs/>
                <w:kern w:val="0"/>
                <w:szCs w:val="21"/>
              </w:rPr>
            </w:pPr>
            <w:r>
              <w:rPr>
                <w:rFonts w:ascii="Times New Roman" w:hAnsi="Times New Roman"/>
                <w:b/>
                <w:bCs/>
                <w:kern w:val="0"/>
                <w:szCs w:val="21"/>
              </w:rPr>
              <w:t>执行环境影响评价和排污许可制度</w:t>
            </w:r>
          </w:p>
          <w:p>
            <w:pPr>
              <w:widowControl/>
              <w:jc w:val="left"/>
              <w:rPr>
                <w:rFonts w:ascii="Times New Roman" w:hAnsi="Times New Roman"/>
                <w:kern w:val="0"/>
                <w:szCs w:val="21"/>
              </w:rPr>
            </w:pPr>
            <w:r>
              <w:rPr>
                <w:rFonts w:ascii="Times New Roman" w:hAnsi="Times New Roman"/>
                <w:kern w:val="0"/>
                <w:szCs w:val="21"/>
              </w:rPr>
              <w:t>①依法开展规划环境影响评价</w:t>
            </w:r>
          </w:p>
          <w:p>
            <w:pPr>
              <w:widowControl/>
              <w:jc w:val="left"/>
              <w:rPr>
                <w:rFonts w:ascii="Times New Roman" w:hAnsi="Times New Roman"/>
                <w:kern w:val="0"/>
                <w:szCs w:val="21"/>
              </w:rPr>
            </w:pPr>
            <w:r>
              <w:rPr>
                <w:rFonts w:ascii="Times New Roman" w:hAnsi="Times New Roman"/>
                <w:kern w:val="0"/>
                <w:szCs w:val="21"/>
              </w:rPr>
              <w:t>②排污许可证核发</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开展</w:t>
            </w:r>
          </w:p>
          <w:p>
            <w:pPr>
              <w:widowControl/>
              <w:jc w:val="center"/>
              <w:rPr>
                <w:rFonts w:ascii="Times New Roman" w:hAnsi="Times New Roman"/>
                <w:kern w:val="0"/>
                <w:szCs w:val="21"/>
              </w:rPr>
            </w:pPr>
            <w:r>
              <w:rPr>
                <w:rFonts w:ascii="Times New Roman" w:hAnsi="Times New Roman"/>
                <w:kern w:val="0"/>
                <w:szCs w:val="21"/>
              </w:rPr>
              <w:t>完成上级规定的目标任务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restart"/>
            <w:tcBorders>
              <w:top w:val="nil"/>
              <w:left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生态安全</w:t>
            </w: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（二）生态环境质量改善</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7</w:t>
            </w:r>
          </w:p>
        </w:tc>
        <w:tc>
          <w:tcPr>
            <w:tcW w:w="3390" w:type="dxa"/>
            <w:tcBorders>
              <w:top w:val="nil"/>
              <w:left w:val="nil"/>
              <w:bottom w:val="single" w:color="auto" w:sz="4" w:space="0"/>
              <w:right w:val="single" w:color="auto" w:sz="4" w:space="0"/>
            </w:tcBorders>
            <w:noWrap/>
            <w:vAlign w:val="center"/>
          </w:tcPr>
          <w:p>
            <w:pPr>
              <w:widowControl/>
              <w:ind w:left="211" w:hanging="211" w:hangingChars="100"/>
              <w:jc w:val="left"/>
              <w:rPr>
                <w:rFonts w:ascii="Times New Roman" w:hAnsi="Times New Roman"/>
                <w:b/>
                <w:kern w:val="0"/>
                <w:szCs w:val="21"/>
              </w:rPr>
            </w:pPr>
            <w:r>
              <w:rPr>
                <w:rFonts w:ascii="Times New Roman" w:hAnsi="Times New Roman"/>
                <w:b/>
                <w:kern w:val="0"/>
                <w:szCs w:val="21"/>
              </w:rPr>
              <w:t>环境空气质量</w:t>
            </w:r>
          </w:p>
          <w:p>
            <w:pPr>
              <w:widowControl/>
              <w:ind w:left="210" w:hanging="210" w:hangingChars="100"/>
              <w:jc w:val="left"/>
              <w:rPr>
                <w:rFonts w:ascii="Times New Roman" w:hAnsi="Times New Roman"/>
                <w:kern w:val="0"/>
                <w:szCs w:val="21"/>
              </w:rPr>
            </w:pPr>
            <w:r>
              <w:rPr>
                <w:rFonts w:ascii="Times New Roman" w:hAnsi="Times New Roman"/>
                <w:kern w:val="0"/>
                <w:szCs w:val="21"/>
              </w:rPr>
              <w:t>①优良天数比例</w:t>
            </w:r>
          </w:p>
          <w:p>
            <w:pPr>
              <w:widowControl/>
              <w:ind w:left="210" w:hanging="210" w:hangingChars="100"/>
              <w:jc w:val="left"/>
              <w:rPr>
                <w:rFonts w:ascii="Times New Roman" w:hAnsi="Times New Roman"/>
                <w:kern w:val="0"/>
                <w:szCs w:val="21"/>
              </w:rPr>
            </w:pPr>
            <w:r>
              <w:rPr>
                <w:rFonts w:ascii="Times New Roman" w:hAnsi="Times New Roman"/>
                <w:kern w:val="0"/>
                <w:szCs w:val="21"/>
              </w:rPr>
              <w:t>②环境空气污染物基本项目浓度年均值</w:t>
            </w:r>
          </w:p>
        </w:tc>
        <w:tc>
          <w:tcPr>
            <w:tcW w:w="2527" w:type="dxa"/>
            <w:tcBorders>
              <w:top w:val="single" w:color="auto" w:sz="4" w:space="0"/>
              <w:left w:val="nil"/>
              <w:bottom w:val="single" w:color="auto" w:sz="4" w:space="0"/>
              <w:right w:val="single" w:color="auto" w:sz="4" w:space="0"/>
            </w:tcBorders>
            <w:noWrap/>
            <w:vAlign w:val="center"/>
          </w:tcPr>
          <w:p>
            <w:pPr>
              <w:jc w:val="center"/>
            </w:pPr>
          </w:p>
          <w:p>
            <w:pPr>
              <w:widowControl/>
              <w:jc w:val="center"/>
              <w:rPr>
                <w:rFonts w:ascii="Times New Roman" w:hAnsi="Times New Roman"/>
                <w:kern w:val="0"/>
                <w:szCs w:val="21"/>
              </w:rPr>
            </w:pPr>
            <w:r>
              <w:rPr>
                <w:rFonts w:ascii="Times New Roman" w:hAnsi="Times New Roman"/>
                <w:kern w:val="0"/>
                <w:szCs w:val="21"/>
              </w:rPr>
              <w:t>≥98%</w:t>
            </w:r>
          </w:p>
          <w:p>
            <w:pPr>
              <w:widowControl/>
              <w:jc w:val="center"/>
              <w:rPr>
                <w:rFonts w:ascii="Times New Roman" w:hAnsi="Times New Roman"/>
                <w:kern w:val="0"/>
                <w:szCs w:val="21"/>
              </w:rPr>
            </w:pPr>
            <w:r>
              <w:rPr>
                <w:rFonts w:ascii="Times New Roman" w:hAnsi="Times New Roman"/>
                <w:kern w:val="0"/>
                <w:szCs w:val="21"/>
              </w:rPr>
              <w:t>达到二级标准</w:t>
            </w:r>
          </w:p>
          <w:p>
            <w:pPr>
              <w:widowControl/>
              <w:jc w:val="center"/>
              <w:rPr>
                <w:rFonts w:ascii="Times New Roman" w:hAnsi="Times New Roman"/>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left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8</w:t>
            </w:r>
          </w:p>
        </w:tc>
        <w:tc>
          <w:tcPr>
            <w:tcW w:w="3390" w:type="dxa"/>
            <w:tcBorders>
              <w:top w:val="nil"/>
              <w:left w:val="nil"/>
              <w:bottom w:val="single" w:color="auto" w:sz="4" w:space="0"/>
              <w:right w:val="single" w:color="auto" w:sz="4" w:space="0"/>
            </w:tcBorders>
            <w:noWrap/>
            <w:vAlign w:val="center"/>
          </w:tcPr>
          <w:p>
            <w:pPr>
              <w:widowControl/>
              <w:ind w:left="211" w:hanging="211" w:hangingChars="100"/>
              <w:jc w:val="left"/>
              <w:rPr>
                <w:rFonts w:ascii="Times New Roman" w:hAnsi="Times New Roman"/>
                <w:b/>
                <w:kern w:val="0"/>
                <w:szCs w:val="21"/>
              </w:rPr>
            </w:pPr>
            <w:r>
              <w:rPr>
                <w:rFonts w:ascii="Times New Roman" w:hAnsi="Times New Roman"/>
                <w:b/>
                <w:kern w:val="0"/>
                <w:szCs w:val="21"/>
              </w:rPr>
              <w:t>水环境质量</w:t>
            </w:r>
          </w:p>
          <w:p>
            <w:pPr>
              <w:widowControl/>
              <w:ind w:left="210" w:hanging="210" w:hangingChars="100"/>
              <w:jc w:val="left"/>
              <w:rPr>
                <w:rFonts w:ascii="Times New Roman" w:hAnsi="Times New Roman"/>
                <w:kern w:val="0"/>
                <w:szCs w:val="21"/>
              </w:rPr>
            </w:pPr>
            <w:r>
              <w:rPr>
                <w:rFonts w:ascii="Times New Roman" w:hAnsi="Times New Roman"/>
                <w:kern w:val="0"/>
                <w:szCs w:val="21"/>
              </w:rPr>
              <w:t>①地表水水质达到或优于Ⅲ类比例</w:t>
            </w:r>
          </w:p>
          <w:p>
            <w:pPr>
              <w:widowControl/>
              <w:ind w:left="210" w:hanging="210" w:hangingChars="100"/>
              <w:jc w:val="left"/>
              <w:rPr>
                <w:rFonts w:ascii="Times New Roman" w:hAnsi="Times New Roman"/>
                <w:kern w:val="0"/>
                <w:szCs w:val="21"/>
              </w:rPr>
            </w:pPr>
            <w:r>
              <w:rPr>
                <w:rFonts w:ascii="Times New Roman" w:hAnsi="Times New Roman"/>
                <w:kern w:val="0"/>
                <w:szCs w:val="21"/>
              </w:rPr>
              <w:t>②地表水劣Ⅴ类水体比例</w:t>
            </w:r>
          </w:p>
          <w:p>
            <w:pPr>
              <w:widowControl/>
              <w:jc w:val="left"/>
              <w:rPr>
                <w:rFonts w:ascii="Times New Roman" w:hAnsi="Times New Roman"/>
                <w:kern w:val="0"/>
                <w:szCs w:val="21"/>
              </w:rPr>
            </w:pPr>
            <w:r>
              <w:rPr>
                <w:rFonts w:ascii="Times New Roman" w:hAnsi="Times New Roman"/>
                <w:kern w:val="0"/>
                <w:szCs w:val="21"/>
              </w:rPr>
              <w:t>③地下水水质现状</w:t>
            </w:r>
          </w:p>
          <w:p>
            <w:pPr>
              <w:widowControl/>
              <w:jc w:val="left"/>
              <w:rPr>
                <w:rFonts w:ascii="Times New Roman" w:hAnsi="Times New Roman"/>
                <w:kern w:val="0"/>
                <w:szCs w:val="21"/>
              </w:rPr>
            </w:pPr>
            <w:r>
              <w:rPr>
                <w:rFonts w:ascii="Times New Roman" w:hAnsi="Times New Roman"/>
                <w:kern w:val="0"/>
                <w:szCs w:val="21"/>
              </w:rPr>
              <w:t>④黑臭水体</w:t>
            </w:r>
            <w:r>
              <w:rPr>
                <w:rFonts w:hint="eastAsia" w:ascii="Times New Roman" w:hAnsi="Times New Roman"/>
                <w:kern w:val="0"/>
                <w:szCs w:val="21"/>
              </w:rPr>
              <w:t>排查治理</w:t>
            </w:r>
          </w:p>
        </w:tc>
        <w:tc>
          <w:tcPr>
            <w:tcW w:w="2527" w:type="dxa"/>
            <w:tcBorders>
              <w:top w:val="single" w:color="auto" w:sz="4" w:space="0"/>
              <w:left w:val="nil"/>
              <w:bottom w:val="single" w:color="auto" w:sz="4" w:space="0"/>
              <w:right w:val="single" w:color="auto" w:sz="4" w:space="0"/>
            </w:tcBorders>
            <w:noWrap/>
            <w:vAlign w:val="center"/>
          </w:tcPr>
          <w:p>
            <w:pPr>
              <w:jc w:val="center"/>
            </w:pPr>
          </w:p>
          <w:p>
            <w:pPr>
              <w:jc w:val="center"/>
              <w:rPr>
                <w:rFonts w:ascii="Times New Roman" w:hAnsi="Times New Roman"/>
                <w:kern w:val="0"/>
                <w:szCs w:val="21"/>
              </w:rPr>
            </w:pPr>
            <w:r>
              <w:rPr>
                <w:rFonts w:ascii="Times New Roman" w:hAnsi="Times New Roman"/>
                <w:kern w:val="0"/>
                <w:szCs w:val="21"/>
              </w:rPr>
              <w:t>完成上级规定的考核任务；保持稳定或持续改善（①②③）</w:t>
            </w:r>
          </w:p>
          <w:p>
            <w:pPr>
              <w:widowControl/>
              <w:jc w:val="center"/>
              <w:rPr>
                <w:rFonts w:ascii="Times New Roman" w:hAnsi="Times New Roman"/>
                <w:kern w:val="0"/>
                <w:szCs w:val="21"/>
              </w:rPr>
            </w:pPr>
            <w:r>
              <w:rPr>
                <w:rFonts w:hint="eastAsia" w:ascii="Times New Roman" w:hAnsi="Times New Roman"/>
                <w:kern w:val="0"/>
                <w:szCs w:val="21"/>
              </w:rPr>
              <w:t>无黑臭</w:t>
            </w:r>
            <w:r>
              <w:rPr>
                <w:rFonts w:ascii="Times New Roman" w:hAnsi="Times New Roman"/>
                <w:kern w:val="0"/>
                <w:szCs w:val="21"/>
              </w:rPr>
              <w:t>（④）</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left w:val="single" w:color="auto" w:sz="4" w:space="0"/>
              <w:right w:val="single" w:color="auto" w:sz="4" w:space="0"/>
            </w:tcBorders>
            <w:noWrap/>
            <w:vAlign w:val="center"/>
          </w:tcP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（三）生态系统保护</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9</w:t>
            </w:r>
          </w:p>
        </w:tc>
        <w:tc>
          <w:tcPr>
            <w:tcW w:w="3390" w:type="dxa"/>
            <w:tcBorders>
              <w:top w:val="nil"/>
              <w:left w:val="nil"/>
              <w:bottom w:val="single" w:color="auto" w:sz="4" w:space="0"/>
              <w:right w:val="single" w:color="auto" w:sz="4" w:space="0"/>
            </w:tcBorders>
            <w:noWrap/>
            <w:vAlign w:val="center"/>
          </w:tcPr>
          <w:p>
            <w:pPr>
              <w:widowControl/>
              <w:ind w:left="210" w:hanging="210" w:hangingChars="100"/>
              <w:jc w:val="left"/>
              <w:rPr>
                <w:rFonts w:ascii="Times New Roman" w:hAnsi="Times New Roman"/>
                <w:bCs/>
                <w:kern w:val="0"/>
                <w:szCs w:val="21"/>
              </w:rPr>
            </w:pPr>
            <w:r>
              <w:rPr>
                <w:rFonts w:ascii="Times New Roman" w:hAnsi="Times New Roman"/>
                <w:bCs/>
                <w:kern w:val="0"/>
                <w:szCs w:val="21"/>
              </w:rPr>
              <w:t>生态环境状况指数（EI）</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≥60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left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10</w:t>
            </w:r>
          </w:p>
        </w:tc>
        <w:tc>
          <w:tcPr>
            <w:tcW w:w="3390" w:type="dxa"/>
            <w:tcBorders>
              <w:top w:val="nil"/>
              <w:left w:val="nil"/>
              <w:bottom w:val="single" w:color="auto" w:sz="4" w:space="0"/>
              <w:right w:val="single" w:color="auto" w:sz="4" w:space="0"/>
            </w:tcBorders>
            <w:noWrap/>
            <w:vAlign w:val="center"/>
          </w:tcPr>
          <w:p>
            <w:pPr>
              <w:widowControl/>
              <w:ind w:left="211" w:hanging="211" w:hangingChars="100"/>
              <w:jc w:val="left"/>
              <w:rPr>
                <w:rFonts w:ascii="Times New Roman" w:hAnsi="Times New Roman"/>
                <w:b/>
                <w:kern w:val="0"/>
                <w:szCs w:val="21"/>
              </w:rPr>
            </w:pPr>
            <w:r>
              <w:rPr>
                <w:rFonts w:hint="eastAsia" w:ascii="Times New Roman" w:hAnsi="Times New Roman"/>
                <w:b/>
                <w:kern w:val="0"/>
                <w:szCs w:val="21"/>
              </w:rPr>
              <w:t>森林</w:t>
            </w:r>
            <w:r>
              <w:rPr>
                <w:rFonts w:ascii="Times New Roman" w:hAnsi="Times New Roman"/>
                <w:b/>
                <w:kern w:val="0"/>
                <w:szCs w:val="21"/>
              </w:rPr>
              <w:t>覆盖率</w:t>
            </w:r>
          </w:p>
          <w:p>
            <w:pPr>
              <w:widowControl/>
              <w:ind w:left="315" w:leftChars="100" w:hanging="105" w:hangingChars="50"/>
              <w:jc w:val="left"/>
              <w:rPr>
                <w:rFonts w:ascii="Times New Roman" w:hAnsi="Times New Roman"/>
                <w:kern w:val="0"/>
                <w:szCs w:val="21"/>
              </w:rPr>
            </w:pPr>
            <w:r>
              <w:rPr>
                <w:rFonts w:ascii="Times New Roman" w:hAnsi="Times New Roman"/>
                <w:kern w:val="0"/>
                <w:szCs w:val="21"/>
              </w:rPr>
              <w:t>山区</w:t>
            </w:r>
          </w:p>
          <w:p>
            <w:pPr>
              <w:widowControl/>
              <w:ind w:left="315" w:leftChars="100" w:hanging="105" w:hangingChars="50"/>
              <w:jc w:val="left"/>
              <w:rPr>
                <w:rFonts w:ascii="Times New Roman" w:hAnsi="Times New Roman"/>
                <w:kern w:val="0"/>
                <w:szCs w:val="21"/>
              </w:rPr>
            </w:pPr>
            <w:r>
              <w:rPr>
                <w:rFonts w:ascii="Times New Roman" w:hAnsi="Times New Roman"/>
                <w:kern w:val="0"/>
                <w:szCs w:val="21"/>
              </w:rPr>
              <w:t>丘陵地区</w:t>
            </w:r>
          </w:p>
          <w:p>
            <w:pPr>
              <w:widowControl/>
              <w:ind w:left="315" w:leftChars="100" w:hanging="105" w:hangingChars="50"/>
              <w:jc w:val="left"/>
              <w:rPr>
                <w:rFonts w:ascii="Times New Roman" w:hAnsi="Times New Roman"/>
                <w:kern w:val="0"/>
                <w:szCs w:val="21"/>
              </w:rPr>
            </w:pPr>
            <w:r>
              <w:rPr>
                <w:rFonts w:ascii="Times New Roman" w:hAnsi="Times New Roman"/>
                <w:kern w:val="0"/>
                <w:szCs w:val="21"/>
              </w:rPr>
              <w:t>平原地区</w:t>
            </w:r>
          </w:p>
          <w:p>
            <w:pPr>
              <w:widowControl/>
              <w:ind w:left="315" w:leftChars="100" w:hanging="105" w:hangingChars="50"/>
              <w:jc w:val="left"/>
              <w:rPr>
                <w:rFonts w:ascii="Times New Roman" w:hAnsi="Times New Roman"/>
                <w:kern w:val="0"/>
                <w:szCs w:val="21"/>
              </w:rPr>
            </w:pPr>
            <w:r>
              <w:rPr>
                <w:rFonts w:ascii="Times New Roman" w:hAnsi="Times New Roman"/>
                <w:kern w:val="0"/>
                <w:szCs w:val="21"/>
              </w:rPr>
              <w:t>干旱半干旱地区</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≥60%</w:t>
            </w:r>
          </w:p>
          <w:p>
            <w:pPr>
              <w:widowControl/>
              <w:jc w:val="center"/>
              <w:rPr>
                <w:rFonts w:ascii="Times New Roman" w:hAnsi="Times New Roman"/>
                <w:kern w:val="0"/>
                <w:szCs w:val="21"/>
              </w:rPr>
            </w:pPr>
            <w:r>
              <w:rPr>
                <w:rFonts w:ascii="Times New Roman" w:hAnsi="Times New Roman"/>
                <w:kern w:val="0"/>
                <w:szCs w:val="21"/>
              </w:rPr>
              <w:t>≥40%</w:t>
            </w:r>
          </w:p>
          <w:p>
            <w:pPr>
              <w:widowControl/>
              <w:jc w:val="center"/>
              <w:rPr>
                <w:rFonts w:ascii="Times New Roman" w:hAnsi="Times New Roman"/>
                <w:kern w:val="0"/>
                <w:szCs w:val="21"/>
              </w:rPr>
            </w:pPr>
            <w:r>
              <w:rPr>
                <w:rFonts w:ascii="Times New Roman" w:hAnsi="Times New Roman"/>
                <w:kern w:val="0"/>
                <w:szCs w:val="21"/>
              </w:rPr>
              <w:t>≥18%</w:t>
            </w:r>
          </w:p>
          <w:p>
            <w:pPr>
              <w:widowControl/>
              <w:jc w:val="center"/>
              <w:rPr>
                <w:rFonts w:ascii="Times New Roman" w:hAnsi="Times New Roman"/>
                <w:kern w:val="0"/>
                <w:szCs w:val="21"/>
              </w:rPr>
            </w:pPr>
            <w:r>
              <w:rPr>
                <w:rFonts w:ascii="Times New Roman" w:hAnsi="Times New Roman"/>
                <w:kern w:val="0"/>
                <w:szCs w:val="21"/>
              </w:rPr>
              <w:t>≥35%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left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11</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b/>
                <w:kern w:val="0"/>
                <w:szCs w:val="21"/>
              </w:rPr>
              <w:t>生物多样性保护</w:t>
            </w:r>
            <w:r>
              <w:rPr>
                <w:rFonts w:ascii="Times New Roman" w:hAnsi="Times New Roman"/>
                <w:kern w:val="0"/>
                <w:szCs w:val="21"/>
              </w:rPr>
              <w:br w:type="textWrapping"/>
            </w:r>
            <w:r>
              <w:rPr>
                <w:rFonts w:ascii="Times New Roman" w:hAnsi="Times New Roman"/>
                <w:kern w:val="0"/>
                <w:szCs w:val="21"/>
              </w:rPr>
              <w:t>①国家重点保护野生动植物保护</w:t>
            </w:r>
            <w:r>
              <w:rPr>
                <w:rFonts w:hint="eastAsia" w:ascii="Times New Roman" w:hAnsi="Times New Roman"/>
                <w:kern w:val="0"/>
                <w:szCs w:val="21"/>
              </w:rPr>
              <w:t>情况</w:t>
            </w:r>
            <w:r>
              <w:rPr>
                <w:rFonts w:ascii="Times New Roman" w:hAnsi="Times New Roman"/>
                <w:kern w:val="0"/>
                <w:szCs w:val="21"/>
              </w:rPr>
              <w:br w:type="textWrapping"/>
            </w:r>
            <w:r>
              <w:rPr>
                <w:rFonts w:ascii="Times New Roman" w:hAnsi="Times New Roman"/>
                <w:kern w:val="0"/>
                <w:szCs w:val="21"/>
              </w:rPr>
              <w:t>②外来物种入侵</w:t>
            </w:r>
            <w:r>
              <w:rPr>
                <w:rFonts w:ascii="Times New Roman" w:hAnsi="Times New Roman"/>
                <w:kern w:val="0"/>
                <w:szCs w:val="21"/>
              </w:rPr>
              <w:br w:type="textWrapping"/>
            </w:r>
            <w:r>
              <w:rPr>
                <w:rFonts w:ascii="Times New Roman" w:hAnsi="Times New Roman"/>
                <w:kern w:val="0"/>
                <w:szCs w:val="21"/>
              </w:rPr>
              <w:t>③特有性或指示性水生物种保持率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开展</w:t>
            </w:r>
          </w:p>
          <w:p>
            <w:pPr>
              <w:widowControl/>
              <w:jc w:val="center"/>
              <w:rPr>
                <w:rFonts w:ascii="Times New Roman" w:hAnsi="Times New Roman"/>
                <w:kern w:val="0"/>
                <w:szCs w:val="21"/>
              </w:rPr>
            </w:pPr>
            <w:r>
              <w:rPr>
                <w:rFonts w:ascii="Times New Roman" w:hAnsi="Times New Roman"/>
                <w:kern w:val="0"/>
                <w:szCs w:val="21"/>
              </w:rPr>
              <w:t>不明显</w:t>
            </w:r>
          </w:p>
          <w:p>
            <w:pPr>
              <w:widowControl/>
              <w:jc w:val="center"/>
              <w:rPr>
                <w:rFonts w:ascii="Times New Roman" w:hAnsi="Times New Roman"/>
                <w:kern w:val="0"/>
                <w:szCs w:val="21"/>
              </w:rPr>
            </w:pPr>
            <w:r>
              <w:rPr>
                <w:rFonts w:ascii="Times New Roman" w:hAnsi="Times New Roman"/>
                <w:kern w:val="0"/>
                <w:szCs w:val="21"/>
              </w:rPr>
              <w:t>不降低</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left w:val="single" w:color="auto" w:sz="4" w:space="0"/>
              <w:right w:val="single" w:color="auto" w:sz="4" w:space="0"/>
            </w:tcBorders>
            <w:noWrap/>
            <w:vAlign w:val="center"/>
          </w:tcP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（四）生态环境风险防范</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12</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危险废物利用处置率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left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13</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建设用地土壤污染风险管控和修复名录制度</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建立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14</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突发生态环境事件应急管理机制</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有效建立</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生态空间</w:t>
            </w: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（五）空间格局优化</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15</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b/>
                <w:kern w:val="0"/>
                <w:szCs w:val="21"/>
              </w:rPr>
              <w:t>自然生态空间</w:t>
            </w:r>
            <w:r>
              <w:rPr>
                <w:rFonts w:ascii="Times New Roman" w:hAnsi="Times New Roman"/>
                <w:kern w:val="0"/>
                <w:szCs w:val="21"/>
              </w:rPr>
              <w:br w:type="textWrapping"/>
            </w:r>
            <w:r>
              <w:rPr>
                <w:rFonts w:ascii="Times New Roman" w:hAnsi="Times New Roman"/>
                <w:kern w:val="0"/>
                <w:szCs w:val="21"/>
              </w:rPr>
              <w:t>①生态保护红线</w:t>
            </w:r>
            <w:r>
              <w:rPr>
                <w:rFonts w:ascii="Times New Roman" w:hAnsi="Times New Roman"/>
                <w:kern w:val="0"/>
                <w:szCs w:val="21"/>
              </w:rPr>
              <w:br w:type="textWrapping"/>
            </w:r>
            <w:r>
              <w:rPr>
                <w:rFonts w:ascii="Times New Roman" w:hAnsi="Times New Roman"/>
                <w:kern w:val="0"/>
                <w:szCs w:val="21"/>
              </w:rPr>
              <w:t>②自然保护地</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面积不减少，性质不改变，功能不降低</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16</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河湖岸线保护</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完成上级管控目标</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生态经济</w:t>
            </w: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（六）资源节约与利用</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17</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单位地区生产总值能耗下降率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完成上级规定的目标任务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18</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单位地区生产总值用水量下降率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完成上级规定的目标任务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19</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单位</w:t>
            </w:r>
            <w:r>
              <w:rPr>
                <w:rFonts w:hint="eastAsia" w:ascii="Times New Roman" w:hAnsi="Times New Roman"/>
                <w:kern w:val="0"/>
                <w:szCs w:val="21"/>
              </w:rPr>
              <w:t>地区</w:t>
            </w:r>
            <w:r>
              <w:rPr>
                <w:rFonts w:ascii="Times New Roman" w:hAnsi="Times New Roman"/>
                <w:kern w:val="0"/>
                <w:szCs w:val="21"/>
              </w:rPr>
              <w:t>生产总值建设用地使用面积下降率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完成上级规定的目标任务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（七）产业循环发展</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20</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b/>
                <w:kern w:val="0"/>
                <w:szCs w:val="21"/>
              </w:rPr>
            </w:pPr>
            <w:r>
              <w:rPr>
                <w:rFonts w:ascii="Times New Roman" w:hAnsi="Times New Roman"/>
                <w:b/>
                <w:kern w:val="0"/>
                <w:szCs w:val="21"/>
              </w:rPr>
              <w:t>农业废弃物综合利用</w:t>
            </w:r>
          </w:p>
          <w:p>
            <w:pPr>
              <w:widowControl/>
              <w:jc w:val="left"/>
              <w:rPr>
                <w:rFonts w:ascii="Times New Roman" w:hAnsi="Times New Roman"/>
                <w:kern w:val="0"/>
                <w:szCs w:val="21"/>
              </w:rPr>
            </w:pPr>
            <w:r>
              <w:rPr>
                <w:rFonts w:ascii="Times New Roman" w:hAnsi="Times New Roman"/>
                <w:kern w:val="0"/>
                <w:szCs w:val="21"/>
              </w:rPr>
              <w:t>①秸秆综合利用率</w:t>
            </w:r>
          </w:p>
          <w:p>
            <w:pPr>
              <w:widowControl/>
              <w:jc w:val="left"/>
              <w:rPr>
                <w:rFonts w:ascii="Times New Roman" w:hAnsi="Times New Roman"/>
                <w:kern w:val="0"/>
                <w:szCs w:val="21"/>
              </w:rPr>
            </w:pPr>
            <w:r>
              <w:rPr>
                <w:rFonts w:ascii="Times New Roman" w:hAnsi="Times New Roman"/>
                <w:kern w:val="0"/>
                <w:szCs w:val="21"/>
              </w:rPr>
              <w:t>②畜禽粪污综合利用率</w:t>
            </w:r>
          </w:p>
          <w:p>
            <w:pPr>
              <w:widowControl/>
              <w:jc w:val="left"/>
              <w:rPr>
                <w:rFonts w:ascii="Times New Roman" w:hAnsi="Times New Roman"/>
                <w:kern w:val="0"/>
                <w:szCs w:val="21"/>
              </w:rPr>
            </w:pPr>
            <w:r>
              <w:rPr>
                <w:rFonts w:ascii="Times New Roman" w:hAnsi="Times New Roman"/>
                <w:kern w:val="0"/>
                <w:szCs w:val="21"/>
              </w:rPr>
              <w:t>③农膜回收利用率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≥90%</w:t>
            </w:r>
          </w:p>
          <w:p>
            <w:pPr>
              <w:widowControl/>
              <w:jc w:val="center"/>
              <w:rPr>
                <w:rFonts w:ascii="Times New Roman" w:hAnsi="Times New Roman"/>
                <w:kern w:val="0"/>
                <w:szCs w:val="21"/>
              </w:rPr>
            </w:pPr>
            <w:r>
              <w:rPr>
                <w:rFonts w:ascii="Times New Roman" w:hAnsi="Times New Roman"/>
                <w:kern w:val="0"/>
                <w:szCs w:val="21"/>
              </w:rPr>
              <w:t>≥90%</w:t>
            </w:r>
          </w:p>
          <w:p>
            <w:pPr>
              <w:widowControl/>
              <w:jc w:val="center"/>
              <w:rPr>
                <w:rFonts w:ascii="Times New Roman" w:hAnsi="Times New Roman"/>
                <w:kern w:val="0"/>
                <w:szCs w:val="21"/>
              </w:rPr>
            </w:pPr>
            <w:r>
              <w:rPr>
                <w:rFonts w:ascii="Times New Roman" w:hAnsi="Times New Roman"/>
                <w:kern w:val="0"/>
                <w:szCs w:val="21"/>
              </w:rPr>
              <w:t>完成上级规定的目标任务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21</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一般工业固体废物综合利用率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≥80%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生态生活</w:t>
            </w:r>
          </w:p>
        </w:tc>
        <w:tc>
          <w:tcPr>
            <w:tcW w:w="795" w:type="dxa"/>
            <w:vMerge w:val="restart"/>
            <w:tcBorders>
              <w:top w:val="single" w:color="auto" w:sz="4" w:space="0"/>
              <w:left w:val="nil"/>
              <w:right w:val="single" w:color="auto" w:sz="4" w:space="0"/>
            </w:tcBorders>
            <w:noWrap/>
            <w:vAlign w:val="center"/>
          </w:tcPr>
          <w:p>
            <w:pPr>
              <w:widowControl/>
              <w:rPr>
                <w:rFonts w:ascii="Times New Roman" w:hAnsi="Times New Roman"/>
                <w:kern w:val="0"/>
                <w:szCs w:val="21"/>
              </w:rPr>
            </w:pPr>
            <w:r>
              <w:rPr>
                <w:rFonts w:ascii="Times New Roman" w:hAnsi="Times New Roman"/>
                <w:kern w:val="0"/>
                <w:szCs w:val="21"/>
              </w:rPr>
              <w:t>（八）人居环境改善</w:t>
            </w:r>
          </w:p>
        </w:tc>
        <w:tc>
          <w:tcPr>
            <w:tcW w:w="810"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22</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集中式饮用水水源地水质优良比例</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23</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村镇饮用水卫生安全</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完成上级规定的目标任务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24</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b/>
                <w:kern w:val="0"/>
                <w:szCs w:val="21"/>
              </w:rPr>
            </w:pPr>
            <w:r>
              <w:rPr>
                <w:rFonts w:ascii="Times New Roman" w:hAnsi="Times New Roman"/>
                <w:b/>
                <w:kern w:val="0"/>
                <w:szCs w:val="21"/>
              </w:rPr>
              <w:t>城镇污水处理</w:t>
            </w:r>
          </w:p>
          <w:p>
            <w:pPr>
              <w:widowControl/>
              <w:jc w:val="left"/>
              <w:rPr>
                <w:rFonts w:ascii="Times New Roman" w:hAnsi="Times New Roman"/>
                <w:kern w:val="0"/>
                <w:szCs w:val="21"/>
              </w:rPr>
            </w:pPr>
            <w:r>
              <w:rPr>
                <w:rFonts w:ascii="Times New Roman" w:hAnsi="Times New Roman"/>
                <w:kern w:val="0"/>
                <w:szCs w:val="21"/>
              </w:rPr>
              <w:t>①县城生活污水处理率</w:t>
            </w:r>
          </w:p>
          <w:p>
            <w:pPr>
              <w:widowControl/>
              <w:jc w:val="left"/>
              <w:rPr>
                <w:rFonts w:ascii="Times New Roman" w:hAnsi="Times New Roman"/>
                <w:kern w:val="0"/>
                <w:szCs w:val="21"/>
              </w:rPr>
            </w:pPr>
            <w:r>
              <w:rPr>
                <w:rFonts w:ascii="Times New Roman" w:hAnsi="Times New Roman"/>
                <w:kern w:val="0"/>
                <w:szCs w:val="21"/>
              </w:rPr>
              <w:t>②</w:t>
            </w:r>
            <w:r>
              <w:rPr>
                <w:rFonts w:hint="eastAsia" w:ascii="Times New Roman" w:hAnsi="Times New Roman"/>
                <w:kern w:val="0"/>
                <w:szCs w:val="21"/>
              </w:rPr>
              <w:t>乡</w:t>
            </w:r>
            <w:r>
              <w:rPr>
                <w:rFonts w:ascii="Times New Roman" w:hAnsi="Times New Roman"/>
                <w:kern w:val="0"/>
                <w:szCs w:val="21"/>
              </w:rPr>
              <w:t>镇生活污水处理</w:t>
            </w:r>
            <w:r>
              <w:rPr>
                <w:rFonts w:hint="eastAsia" w:ascii="Times New Roman" w:hAnsi="Times New Roman"/>
                <w:kern w:val="0"/>
                <w:szCs w:val="21"/>
              </w:rPr>
              <w:t>设施覆盖</w:t>
            </w:r>
            <w:r>
              <w:rPr>
                <w:rFonts w:ascii="Times New Roman" w:hAnsi="Times New Roman"/>
                <w:kern w:val="0"/>
                <w:szCs w:val="21"/>
              </w:rPr>
              <w:t>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≥90%</w:t>
            </w:r>
          </w:p>
          <w:p>
            <w:pPr>
              <w:widowControl/>
              <w:jc w:val="center"/>
              <w:rPr>
                <w:rFonts w:ascii="Times New Roman" w:hAnsi="Times New Roman"/>
                <w:kern w:val="0"/>
                <w:szCs w:val="21"/>
              </w:rPr>
            </w:pPr>
            <w:r>
              <w:rPr>
                <w:rFonts w:hint="eastAsia" w:ascii="Times New Roman" w:hAnsi="Times New Roman"/>
                <w:kern w:val="0"/>
                <w:szCs w:val="21"/>
              </w:rPr>
              <w:t>完成上级规定的目标任务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25</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highlight w:val="yellow"/>
              </w:rPr>
            </w:pPr>
            <w:r>
              <w:rPr>
                <w:rFonts w:ascii="Times New Roman" w:hAnsi="Times New Roman"/>
                <w:kern w:val="0"/>
                <w:szCs w:val="21"/>
              </w:rPr>
              <w:t>城镇生活垃圾无害化处理率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highlight w:val="yellow"/>
              </w:rPr>
            </w:pPr>
            <w:r>
              <w:rPr>
                <w:rFonts w:ascii="Times New Roman" w:hAnsi="Times New Roman"/>
                <w:kern w:val="0"/>
                <w:szCs w:val="21"/>
              </w:rPr>
              <w:t>完成上级规定的考核任务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26</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农村卫生厕所普及率</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完成上级规定的考核任务</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（九）生活方式绿色化</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27</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城镇新建绿色建筑比例</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szCs w:val="21"/>
              </w:rPr>
            </w:pPr>
            <w:r>
              <w:rPr>
                <w:rFonts w:ascii="Times New Roman" w:hAnsi="Times New Roman"/>
                <w:kern w:val="0"/>
                <w:szCs w:val="21"/>
              </w:rPr>
              <w:t>≥</w:t>
            </w:r>
            <w:r>
              <w:rPr>
                <w:rFonts w:ascii="Times New Roman" w:hAnsi="Times New Roman"/>
                <w:szCs w:val="21"/>
              </w:rPr>
              <w:t>50%（2020年</w:t>
            </w:r>
            <w:r>
              <w:rPr>
                <w:rFonts w:hint="eastAsia" w:ascii="Times New Roman" w:hAnsi="Times New Roman"/>
                <w:szCs w:val="21"/>
              </w:rPr>
              <w:t>及以前</w:t>
            </w:r>
            <w:r>
              <w:rPr>
                <w:rFonts w:ascii="Times New Roman" w:hAnsi="Times New Roman"/>
                <w:szCs w:val="21"/>
              </w:rPr>
              <w:t>）</w:t>
            </w:r>
          </w:p>
          <w:p>
            <w:pPr>
              <w:widowControl/>
              <w:jc w:val="center"/>
              <w:rPr>
                <w:rFonts w:ascii="Times New Roman" w:hAnsi="Times New Roman"/>
                <w:szCs w:val="21"/>
              </w:rPr>
            </w:pPr>
            <w:r>
              <w:rPr>
                <w:rFonts w:ascii="Times New Roman" w:hAnsi="Times New Roman"/>
                <w:szCs w:val="21"/>
              </w:rPr>
              <w:t>100%（2021年起）</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szCs w:val="21"/>
              </w:rPr>
            </w:pPr>
            <w:r>
              <w:rPr>
                <w:rFonts w:ascii="Times New Roman" w:hAnsi="Times New Roman"/>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28</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城镇生活垃圾分类减量化行动</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实施</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29</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政府绿色采购比例</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≥95%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约束性</w:t>
            </w:r>
          </w:p>
        </w:tc>
      </w:tr>
      <w:tr>
        <w:tblPrEx>
          <w:tblCellMar>
            <w:top w:w="0" w:type="dxa"/>
            <w:left w:w="108" w:type="dxa"/>
            <w:bottom w:w="0" w:type="dxa"/>
            <w:right w:w="108" w:type="dxa"/>
          </w:tblCellMar>
        </w:tblPrEx>
        <w:trPr>
          <w:trHeight w:val="567" w:hRule="atLeast"/>
          <w:jc w:val="center"/>
        </w:trPr>
        <w:tc>
          <w:tcPr>
            <w:tcW w:w="70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生态文化</w:t>
            </w:r>
          </w:p>
        </w:tc>
        <w:tc>
          <w:tcPr>
            <w:tcW w:w="795" w:type="dxa"/>
            <w:vMerge w:val="restart"/>
            <w:tcBorders>
              <w:top w:val="nil"/>
              <w:left w:val="nil"/>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（十）观念意识普及</w:t>
            </w: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30</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党政领导干部参加生态文明培训的人数比例</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100%</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31</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公众对生态文明建设的满意度</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≥85%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r>
        <w:tblPrEx>
          <w:tblCellMar>
            <w:top w:w="0" w:type="dxa"/>
            <w:left w:w="108" w:type="dxa"/>
            <w:bottom w:w="0" w:type="dxa"/>
            <w:right w:w="108" w:type="dxa"/>
          </w:tblCellMar>
        </w:tblPrEx>
        <w:trPr>
          <w:trHeight w:val="567" w:hRule="atLeast"/>
          <w:jc w:val="center"/>
        </w:trPr>
        <w:tc>
          <w:tcPr>
            <w:tcW w:w="705" w:type="dxa"/>
            <w:vMerge w:val="continue"/>
            <w:tcBorders>
              <w:top w:val="nil"/>
              <w:left w:val="single" w:color="auto" w:sz="4" w:space="0"/>
              <w:bottom w:val="single" w:color="auto" w:sz="4" w:space="0"/>
              <w:right w:val="single" w:color="auto" w:sz="4" w:space="0"/>
            </w:tcBorders>
            <w:noWrap/>
            <w:vAlign w:val="center"/>
          </w:tcPr>
          <w:p/>
        </w:tc>
        <w:tc>
          <w:tcPr>
            <w:tcW w:w="795" w:type="dxa"/>
            <w:vMerge w:val="continue"/>
            <w:tcBorders>
              <w:left w:val="nil"/>
              <w:bottom w:val="single" w:color="auto" w:sz="4" w:space="0"/>
              <w:right w:val="single" w:color="auto" w:sz="4" w:space="0"/>
            </w:tcBorders>
            <w:noWrap/>
            <w:vAlign w:val="center"/>
          </w:tcPr>
          <w:p/>
        </w:tc>
        <w:tc>
          <w:tcPr>
            <w:tcW w:w="810" w:type="dxa"/>
            <w:tcBorders>
              <w:top w:val="nil"/>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32</w:t>
            </w:r>
          </w:p>
        </w:tc>
        <w:tc>
          <w:tcPr>
            <w:tcW w:w="3390" w:type="dxa"/>
            <w:tcBorders>
              <w:top w:val="nil"/>
              <w:left w:val="nil"/>
              <w:bottom w:val="single" w:color="auto" w:sz="4" w:space="0"/>
              <w:right w:val="single" w:color="auto" w:sz="4" w:space="0"/>
            </w:tcBorders>
            <w:noWrap/>
            <w:vAlign w:val="center"/>
          </w:tcPr>
          <w:p>
            <w:pPr>
              <w:widowControl/>
              <w:jc w:val="left"/>
              <w:rPr>
                <w:rFonts w:ascii="Times New Roman" w:hAnsi="Times New Roman"/>
                <w:kern w:val="0"/>
                <w:szCs w:val="21"/>
              </w:rPr>
            </w:pPr>
            <w:r>
              <w:rPr>
                <w:rFonts w:ascii="Times New Roman" w:hAnsi="Times New Roman"/>
                <w:kern w:val="0"/>
                <w:szCs w:val="21"/>
              </w:rPr>
              <w:t>公众对生态文明建设的参与度</w:t>
            </w:r>
          </w:p>
        </w:tc>
        <w:tc>
          <w:tcPr>
            <w:tcW w:w="2527"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≥85%</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kern w:val="0"/>
                <w:szCs w:val="21"/>
              </w:rPr>
            </w:pPr>
            <w:r>
              <w:rPr>
                <w:rFonts w:ascii="Times New Roman" w:hAnsi="Times New Roman"/>
                <w:kern w:val="0"/>
                <w:szCs w:val="21"/>
              </w:rPr>
              <w:t>参考性</w:t>
            </w:r>
          </w:p>
        </w:tc>
      </w:tr>
    </w:tbl>
    <w:p>
      <w:pPr>
        <w:widowControl/>
        <w:spacing w:before="312" w:after="312"/>
        <w:jc w:val="center"/>
        <w:rPr>
          <w:rFonts w:ascii="Times New Roman" w:hAnsi="Times New Roman" w:eastAsia="黑体"/>
          <w:sz w:val="32"/>
          <w:szCs w:val="24"/>
        </w:rPr>
      </w:pPr>
      <w:bookmarkStart w:id="11" w:name="_Toc270372289_WPSOffice_Level1"/>
      <w:r>
        <w:rPr>
          <w:rFonts w:hint="eastAsia" w:ascii="Times New Roman" w:hAnsi="Times New Roman" w:eastAsia="黑体"/>
          <w:sz w:val="32"/>
          <w:szCs w:val="24"/>
        </w:rPr>
        <w:br w:type="page"/>
      </w:r>
      <w:r>
        <w:rPr>
          <w:rFonts w:hint="eastAsia" w:ascii="Times New Roman" w:hAnsi="Times New Roman" w:eastAsia="黑体"/>
          <w:sz w:val="32"/>
          <w:szCs w:val="24"/>
        </w:rPr>
        <w:t>《贵州省</w:t>
      </w:r>
      <w:r>
        <w:rPr>
          <w:rFonts w:ascii="Times New Roman" w:hAnsi="Times New Roman" w:eastAsia="黑体"/>
          <w:sz w:val="32"/>
          <w:szCs w:val="24"/>
        </w:rPr>
        <w:t>生态文明建设示范县</w:t>
      </w:r>
      <w:r>
        <w:rPr>
          <w:rFonts w:hint="eastAsia" w:ascii="Times New Roman" w:hAnsi="Times New Roman" w:eastAsia="黑体"/>
          <w:sz w:val="32"/>
          <w:szCs w:val="24"/>
        </w:rPr>
        <w:t>建设</w:t>
      </w:r>
      <w:r>
        <w:rPr>
          <w:rFonts w:ascii="Times New Roman" w:hAnsi="Times New Roman" w:eastAsia="黑体"/>
          <w:sz w:val="32"/>
          <w:szCs w:val="24"/>
        </w:rPr>
        <w:t>指标</w:t>
      </w:r>
      <w:r>
        <w:rPr>
          <w:rFonts w:hint="eastAsia" w:ascii="Times New Roman" w:hAnsi="Times New Roman" w:eastAsia="黑体"/>
          <w:sz w:val="32"/>
          <w:szCs w:val="24"/>
        </w:rPr>
        <w:t>》</w:t>
      </w:r>
      <w:r>
        <w:rPr>
          <w:rFonts w:ascii="Times New Roman" w:hAnsi="Times New Roman" w:eastAsia="黑体"/>
          <w:sz w:val="32"/>
          <w:szCs w:val="24"/>
        </w:rPr>
        <w:t>指标解释</w:t>
      </w:r>
      <w:bookmarkEnd w:id="11"/>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2" w:name="_Toc71664171_WPSOffice_Level1"/>
      <w:r>
        <w:rPr>
          <w:rFonts w:ascii="Times New Roman Regular" w:hAnsi="Times New Roman Regular" w:eastAsia="仿宋_GB2312" w:cs="Times New Roman Regular"/>
          <w:b/>
          <w:sz w:val="30"/>
          <w:szCs w:val="30"/>
          <w:lang w:val="zh-CN" w:bidi="en-US"/>
        </w:rPr>
        <w:t>生态文明建设规划</w:t>
      </w:r>
      <w:bookmarkEnd w:id="12"/>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指创建地区围绕推进生态文明建设和推动省级</w:t>
      </w:r>
      <w:r>
        <w:rPr>
          <w:rFonts w:hint="eastAsia" w:ascii="Times New Roman Regular" w:hAnsi="Times New Roman Regular" w:eastAsia="仿宋_GB2312" w:cs="Times New Roman Regular"/>
          <w:bCs/>
          <w:sz w:val="30"/>
          <w:szCs w:val="30"/>
          <w:lang w:val="zh-CN" w:bidi="en-US"/>
        </w:rPr>
        <w:t>以上</w:t>
      </w:r>
      <w:r>
        <w:rPr>
          <w:rFonts w:ascii="Times New Roman Regular" w:hAnsi="Times New Roman Regular" w:eastAsia="仿宋_GB2312" w:cs="Times New Roman Regular"/>
          <w:bCs/>
          <w:sz w:val="30"/>
          <w:szCs w:val="30"/>
          <w:lang w:val="zh-CN" w:bidi="en-US"/>
        </w:rPr>
        <w:t>生态文明建设示范县创建工作，组织编制的具有自身特色的建设规划。规划应由当由同级人民代表大会（或其常务委员会）或本级人民政府审议后颁布实施，且在有效期内。</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当地</w:t>
      </w:r>
      <w:r>
        <w:rPr>
          <w:rFonts w:hint="eastAsia" w:ascii="Times New Roman Regular" w:hAnsi="Times New Roman Regular" w:eastAsia="仿宋_GB2312" w:cs="Times New Roman Regular"/>
          <w:bCs/>
          <w:sz w:val="30"/>
          <w:szCs w:val="30"/>
          <w:lang w:val="zh-CN" w:bidi="en-US"/>
        </w:rPr>
        <w:t>人大或</w:t>
      </w:r>
      <w:r>
        <w:rPr>
          <w:rFonts w:ascii="Times New Roman Regular" w:hAnsi="Times New Roman Regular" w:eastAsia="仿宋_GB2312" w:cs="Times New Roman Regular"/>
          <w:bCs/>
          <w:sz w:val="30"/>
          <w:szCs w:val="30"/>
          <w:lang w:val="zh-CN" w:bidi="en-US"/>
        </w:rPr>
        <w:t>政府及各有关部门。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3" w:name="_Toc1868879677_WPSOffice_Level1"/>
      <w:r>
        <w:rPr>
          <w:rFonts w:ascii="Times New Roman Regular" w:hAnsi="Times New Roman Regular" w:eastAsia="仿宋_GB2312" w:cs="Times New Roman Regular"/>
          <w:b/>
          <w:sz w:val="30"/>
          <w:szCs w:val="30"/>
          <w:lang w:val="zh-CN" w:bidi="en-US"/>
        </w:rPr>
        <w:t>党委政府对生态文明建设重大目标任务部署情况</w:t>
      </w:r>
      <w:bookmarkEnd w:id="13"/>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指创建地区党委政府领导</w:t>
      </w:r>
      <w:r>
        <w:rPr>
          <w:rFonts w:hint="eastAsia" w:ascii="Times New Roman Regular" w:hAnsi="Times New Roman Regular" w:eastAsia="仿宋_GB2312" w:cs="Times New Roman Regular"/>
          <w:bCs/>
          <w:sz w:val="30"/>
          <w:szCs w:val="30"/>
          <w:lang w:val="zh-CN" w:bidi="en-US"/>
        </w:rPr>
        <w:t>班子</w:t>
      </w:r>
      <w:r>
        <w:rPr>
          <w:rFonts w:ascii="Times New Roman Regular" w:hAnsi="Times New Roman Regular" w:eastAsia="仿宋_GB2312" w:cs="Times New Roman Regular"/>
          <w:bCs/>
          <w:sz w:val="30"/>
          <w:szCs w:val="30"/>
          <w:lang w:val="zh-CN" w:bidi="en-US"/>
        </w:rPr>
        <w:t>学习贯彻落实习近平生态文明思想的情况，对国家、省有关生态文明建设决策部署和重大政策、中央</w:t>
      </w:r>
      <w:r>
        <w:rPr>
          <w:rFonts w:hint="eastAsia" w:ascii="Times New Roman Regular" w:hAnsi="Times New Roman Regular" w:eastAsia="仿宋_GB2312" w:cs="Times New Roman Regular"/>
          <w:bCs/>
          <w:sz w:val="30"/>
          <w:szCs w:val="30"/>
          <w:lang w:val="zh-CN" w:bidi="en-US"/>
        </w:rPr>
        <w:t>及省委</w:t>
      </w:r>
      <w:r>
        <w:rPr>
          <w:rFonts w:ascii="Times New Roman Regular" w:hAnsi="Times New Roman Regular" w:eastAsia="仿宋_GB2312" w:cs="Times New Roman Regular"/>
          <w:bCs/>
          <w:sz w:val="30"/>
          <w:szCs w:val="30"/>
          <w:lang w:val="zh-CN" w:bidi="en-US"/>
        </w:rPr>
        <w:t>生态环境保护督察与各类专项督查问题，以及本行政区域内生态文明建设</w:t>
      </w:r>
      <w:r>
        <w:rPr>
          <w:rFonts w:hint="eastAsia" w:ascii="Times New Roman Regular" w:hAnsi="Times New Roman Regular" w:eastAsia="仿宋_GB2312" w:cs="Times New Roman Regular"/>
          <w:bCs/>
          <w:sz w:val="30"/>
          <w:szCs w:val="30"/>
          <w:lang w:val="zh-CN" w:bidi="en-US"/>
        </w:rPr>
        <w:t>和生态环境保护</w:t>
      </w:r>
      <w:r>
        <w:rPr>
          <w:rFonts w:ascii="Times New Roman Regular" w:hAnsi="Times New Roman Regular" w:eastAsia="仿宋_GB2312" w:cs="Times New Roman Regular"/>
          <w:bCs/>
          <w:sz w:val="30"/>
          <w:szCs w:val="30"/>
          <w:lang w:val="zh-CN" w:bidi="en-US"/>
        </w:rPr>
        <w:t>突出问题的研究学习及落实情况。</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当地党委政府及各有关部门。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4" w:name="_Toc1164910317_WPSOffice_Level1"/>
      <w:r>
        <w:rPr>
          <w:rFonts w:ascii="Times New Roman Regular" w:hAnsi="Times New Roman Regular" w:eastAsia="仿宋_GB2312" w:cs="Times New Roman Regular"/>
          <w:b/>
          <w:sz w:val="30"/>
          <w:szCs w:val="30"/>
          <w:lang w:val="zh-CN" w:bidi="en-US"/>
        </w:rPr>
        <w:t>生态文明建设工作占党政实绩考核的比例</w:t>
      </w:r>
      <w:bookmarkEnd w:id="14"/>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指创建地区</w:t>
      </w:r>
      <w:r>
        <w:rPr>
          <w:rFonts w:hint="eastAsia" w:ascii="Times New Roman Regular" w:hAnsi="Times New Roman Regular" w:eastAsia="仿宋_GB2312" w:cs="Times New Roman Regular"/>
          <w:bCs/>
          <w:sz w:val="30"/>
          <w:szCs w:val="30"/>
          <w:lang w:val="zh-CN" w:bidi="en-US"/>
        </w:rPr>
        <w:t>本级党委政府</w:t>
      </w:r>
      <w:r>
        <w:rPr>
          <w:rFonts w:ascii="Times New Roman Regular" w:hAnsi="Times New Roman Regular" w:eastAsia="仿宋_GB2312" w:cs="Times New Roman Regular"/>
          <w:bCs/>
          <w:sz w:val="30"/>
          <w:szCs w:val="30"/>
          <w:lang w:val="zh-CN" w:bidi="en-US"/>
        </w:rPr>
        <w:t>对下级</w:t>
      </w:r>
      <w:r>
        <w:rPr>
          <w:rFonts w:hint="eastAsia" w:ascii="Times New Roman Regular" w:hAnsi="Times New Roman Regular" w:eastAsia="仿宋_GB2312" w:cs="Times New Roman Regular"/>
          <w:bCs/>
          <w:sz w:val="30"/>
          <w:szCs w:val="30"/>
          <w:lang w:val="zh-CN" w:bidi="en-US"/>
        </w:rPr>
        <w:t>党委</w:t>
      </w:r>
      <w:r>
        <w:rPr>
          <w:rFonts w:ascii="Times New Roman Regular" w:hAnsi="Times New Roman Regular" w:eastAsia="仿宋_GB2312" w:cs="Times New Roman Regular"/>
          <w:bCs/>
          <w:sz w:val="30"/>
          <w:szCs w:val="30"/>
          <w:lang w:val="zh-CN" w:bidi="en-US"/>
        </w:rPr>
        <w:t>政府</w:t>
      </w:r>
      <w:r>
        <w:rPr>
          <w:rFonts w:hint="eastAsia" w:ascii="Times New Roman Regular" w:hAnsi="Times New Roman Regular" w:eastAsia="仿宋_GB2312" w:cs="Times New Roman Regular"/>
          <w:bCs/>
          <w:sz w:val="30"/>
          <w:szCs w:val="30"/>
          <w:lang w:val="zh-CN" w:bidi="en-US"/>
        </w:rPr>
        <w:t>或部门</w:t>
      </w:r>
      <w:r>
        <w:rPr>
          <w:rFonts w:hint="eastAsia" w:ascii="Times New Roman Regular" w:hAnsi="Times New Roman Regular" w:eastAsia="仿宋_GB2312" w:cs="Times New Roman Regular"/>
          <w:bCs/>
          <w:sz w:val="30"/>
          <w:szCs w:val="30"/>
          <w:lang w:bidi="en-US"/>
        </w:rPr>
        <w:t>的</w:t>
      </w:r>
      <w:r>
        <w:rPr>
          <w:rFonts w:ascii="Times New Roman Regular" w:hAnsi="Times New Roman Regular" w:eastAsia="仿宋_GB2312" w:cs="Times New Roman Regular"/>
          <w:bCs/>
          <w:sz w:val="30"/>
          <w:szCs w:val="30"/>
          <w:lang w:val="zh-CN" w:bidi="en-US"/>
        </w:rPr>
        <w:t>党政干部实绩考核评分标准中</w:t>
      </w:r>
      <w:r>
        <w:rPr>
          <w:rFonts w:hint="eastAsia" w:ascii="Times New Roman Regular" w:hAnsi="Times New Roman Regular" w:eastAsia="仿宋_GB2312" w:cs="Times New Roman Regular"/>
          <w:bCs/>
          <w:sz w:val="30"/>
          <w:szCs w:val="30"/>
          <w:lang w:val="zh-CN" w:bidi="en-US"/>
        </w:rPr>
        <w:t>，</w:t>
      </w:r>
      <w:r>
        <w:rPr>
          <w:rFonts w:ascii="Times New Roman Regular" w:hAnsi="Times New Roman Regular" w:eastAsia="仿宋_GB2312" w:cs="Times New Roman Regular"/>
          <w:bCs/>
          <w:sz w:val="30"/>
          <w:szCs w:val="30"/>
          <w:lang w:val="zh-CN" w:bidi="en-US"/>
        </w:rPr>
        <w:t>生态文明建设工作所占的比例，</w:t>
      </w:r>
      <w:r>
        <w:rPr>
          <w:rFonts w:ascii="Times New Roman Regular" w:hAnsi="Times New Roman Regular" w:eastAsia="仿宋_GB2312" w:cs="Times New Roman Regular"/>
          <w:bCs/>
          <w:sz w:val="30"/>
          <w:szCs w:val="30"/>
          <w:lang w:bidi="en-US"/>
        </w:rPr>
        <w:t>包括生态文明制度建设和体制改革、生态环境保护、资源能源节约、绿色发展等方面</w:t>
      </w:r>
      <w:r>
        <w:rPr>
          <w:rFonts w:ascii="Times New Roman Regular" w:hAnsi="Times New Roman Regular" w:eastAsia="仿宋_GB2312" w:cs="Times New Roman Regular"/>
          <w:bCs/>
          <w:sz w:val="30"/>
          <w:szCs w:val="30"/>
          <w:lang w:val="zh-CN" w:bidi="en-US"/>
        </w:rPr>
        <w:t>。该指标旨在</w:t>
      </w:r>
      <w:r>
        <w:rPr>
          <w:rFonts w:hint="eastAsia" w:ascii="Times New Roman Regular" w:hAnsi="Times New Roman Regular" w:eastAsia="仿宋_GB2312" w:cs="Times New Roman Regular"/>
          <w:bCs/>
          <w:sz w:val="30"/>
          <w:szCs w:val="30"/>
          <w:lang w:val="zh-CN" w:bidi="en-US"/>
        </w:rPr>
        <w:t>从制度架构上</w:t>
      </w:r>
      <w:r>
        <w:rPr>
          <w:rFonts w:ascii="Times New Roman Regular" w:hAnsi="Times New Roman Regular" w:eastAsia="仿宋_GB2312" w:cs="Times New Roman Regular"/>
          <w:bCs/>
          <w:sz w:val="30"/>
          <w:szCs w:val="30"/>
          <w:lang w:val="zh-CN" w:bidi="en-US"/>
        </w:rPr>
        <w:t>推动创建地区将生态文明建设工作纳入党政实绩考核范围，</w:t>
      </w:r>
      <w:r>
        <w:rPr>
          <w:rFonts w:hint="eastAsia" w:ascii="Times New Roman Regular" w:hAnsi="Times New Roman Regular" w:eastAsia="仿宋_GB2312" w:cs="Times New Roman Regular"/>
          <w:bCs/>
          <w:sz w:val="30"/>
          <w:szCs w:val="30"/>
          <w:lang w:val="zh-CN" w:bidi="en-US"/>
        </w:rPr>
        <w:t>并</w:t>
      </w:r>
      <w:r>
        <w:rPr>
          <w:rFonts w:ascii="Times New Roman Regular" w:hAnsi="Times New Roman Regular" w:eastAsia="仿宋_GB2312" w:cs="Times New Roman Regular"/>
          <w:bCs/>
          <w:sz w:val="30"/>
          <w:szCs w:val="30"/>
          <w:lang w:val="zh-CN" w:bidi="en-US"/>
        </w:rPr>
        <w:t>通过强化考核把生态文明建设工作任务落到实处。</w:t>
      </w:r>
    </w:p>
    <w:p>
      <w:pPr>
        <w:adjustRightInd w:val="0"/>
        <w:snapToGrid w:val="0"/>
        <w:spacing w:line="348" w:lineRule="auto"/>
        <w:rPr>
          <w:rFonts w:hint="eastAsia" w:ascii="Cambria Math" w:hAnsi="Cambria Math" w:eastAsia="仿宋" w:cs="Times New Roman Regular"/>
          <w:sz w:val="24"/>
          <w:szCs w:val="24"/>
        </w:rPr>
      </w:pPr>
      <m:oMathPara>
        <m:oMath>
          <m:r>
            <m:rPr>
              <m:sty m:val="p"/>
            </m:rPr>
            <w:rPr>
              <w:rFonts w:ascii="Cambria Math" w:hAnsi="Cambria Math" w:eastAsia="仿宋" w:cs="Times New Roman Regular"/>
              <w:sz w:val="24"/>
              <w:szCs w:val="24"/>
            </w:rPr>
            <m:t>生态文明建设工作占党政实绩考核的比例=</m:t>
          </m:r>
          <m:f>
            <m:fPr>
              <m:ctrlPr>
                <w:rPr>
                  <w:rFonts w:ascii="Cambria Math" w:hAnsi="Cambria Math" w:eastAsia="仿宋" w:cs="Times New Roman Regular"/>
                  <w:sz w:val="24"/>
                  <w:szCs w:val="24"/>
                </w:rPr>
              </m:ctrlPr>
            </m:fPr>
            <m:num>
              <m:r>
                <m:rPr>
                  <m:sty m:val="p"/>
                </m:rPr>
                <w:rPr>
                  <w:rFonts w:ascii="Cambria Math" w:hAnsi="Cambria Math" w:eastAsia="仿宋" w:cs="Times New Roman Regular"/>
                  <w:sz w:val="24"/>
                  <w:szCs w:val="24"/>
                </w:rPr>
                <m:t>生态文明相关考核得分</m:t>
              </m:r>
              <m:ctrlPr>
                <w:rPr>
                  <w:rFonts w:ascii="Cambria Math" w:hAnsi="Cambria Math" w:eastAsia="仿宋" w:cs="Times New Roman Regular"/>
                  <w:sz w:val="24"/>
                  <w:szCs w:val="24"/>
                </w:rPr>
              </m:ctrlPr>
            </m:num>
            <m:den>
              <m:r>
                <m:rPr>
                  <m:sty m:val="p"/>
                </m:rPr>
                <w:rPr>
                  <w:rFonts w:ascii="Cambria Math" w:hAnsi="Cambria Math" w:eastAsia="仿宋" w:cs="Times New Roman Regular"/>
                  <w:sz w:val="24"/>
                  <w:szCs w:val="24"/>
                </w:rPr>
                <m:t>绩效考评总分</m:t>
              </m:r>
              <m:ctrlPr>
                <w:rPr>
                  <w:rFonts w:ascii="Cambria Math" w:hAnsi="Cambria Math" w:eastAsia="仿宋" w:cs="Times New Roman Regular"/>
                  <w:sz w:val="24"/>
                  <w:szCs w:val="24"/>
                </w:rPr>
              </m:ctrlPr>
            </m:den>
          </m:f>
          <m:r>
            <m:rPr>
              <m:sty m:val="p"/>
            </m:rPr>
            <w:rPr>
              <w:rFonts w:ascii="Cambria Math" w:hAnsi="Cambria Math" w:cs="Times New Roman Regular"/>
              <w:sz w:val="24"/>
              <w:szCs w:val="24"/>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hint="eastAsia" w:ascii="Times New Roman Regular" w:hAnsi="Times New Roman Regular" w:eastAsia="仿宋_GB2312" w:cs="Times New Roman Regular"/>
          <w:bCs/>
          <w:sz w:val="30"/>
          <w:szCs w:val="30"/>
          <w:lang w:val="zh-CN" w:bidi="en-US"/>
        </w:rPr>
        <w:t>“两办”、</w:t>
      </w:r>
      <w:r>
        <w:rPr>
          <w:rFonts w:ascii="Times New Roman Regular" w:hAnsi="Times New Roman Regular" w:eastAsia="仿宋_GB2312" w:cs="Times New Roman Regular"/>
          <w:bCs/>
          <w:sz w:val="30"/>
          <w:szCs w:val="30"/>
          <w:lang w:val="zh-CN" w:bidi="en-US"/>
        </w:rPr>
        <w:t>组织人事、生态环境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5" w:name="_Toc39288120_WPSOffice_Level1"/>
      <w:r>
        <w:rPr>
          <w:rFonts w:ascii="Times New Roman Regular" w:hAnsi="Times New Roman Regular" w:eastAsia="仿宋_GB2312" w:cs="Times New Roman Regular"/>
          <w:b/>
          <w:sz w:val="30"/>
          <w:szCs w:val="30"/>
          <w:lang w:val="zh-CN" w:bidi="en-US"/>
        </w:rPr>
        <w:t>河长制</w:t>
      </w:r>
      <w:bookmarkEnd w:id="15"/>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由各级党政主要负责人担任行政区域内河长，落实属地责任，健全长效机制，协调整合各方力量，促进水资源保护、水污染防治、水环境治理、水域岸线管理等工作。具体按照《中共中央办公厅国务院办公厅关于全面推行河长制的意见》及</w:t>
      </w:r>
      <w:r>
        <w:rPr>
          <w:rFonts w:hint="eastAsia" w:ascii="Times New Roman Regular" w:hAnsi="Times New Roman Regular" w:eastAsia="仿宋_GB2312" w:cs="Times New Roman Regular"/>
          <w:bCs/>
          <w:sz w:val="30"/>
          <w:szCs w:val="30"/>
          <w:lang w:bidi="en-US"/>
        </w:rPr>
        <w:t>省内</w:t>
      </w:r>
      <w:r>
        <w:rPr>
          <w:rFonts w:ascii="Times New Roman Regular" w:hAnsi="Times New Roman Regular" w:eastAsia="仿宋_GB2312" w:cs="Times New Roman Regular"/>
          <w:bCs/>
          <w:sz w:val="30"/>
          <w:szCs w:val="30"/>
          <w:lang w:val="zh-CN" w:bidi="en-US"/>
        </w:rPr>
        <w:t>相关文件执行。</w:t>
      </w:r>
    </w:p>
    <w:p>
      <w:pPr>
        <w:adjustRightInd w:val="0"/>
        <w:snapToGrid w:val="0"/>
        <w:spacing w:line="360"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水利、生态环境等部门。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6" w:name="_Toc1037953211_WPSOffice_Level1"/>
      <w:r>
        <w:rPr>
          <w:rFonts w:ascii="Times New Roman Regular" w:hAnsi="Times New Roman Regular" w:eastAsia="仿宋_GB2312" w:cs="Times New Roman Regular"/>
          <w:b/>
          <w:sz w:val="30"/>
          <w:szCs w:val="30"/>
          <w:lang w:val="zh-CN" w:bidi="en-US"/>
        </w:rPr>
        <w:t>生态环境信息公开</w:t>
      </w:r>
      <w:bookmarkEnd w:id="16"/>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指政府主动公开</w:t>
      </w:r>
      <w:r>
        <w:rPr>
          <w:rFonts w:ascii="Times New Roman Regular" w:hAnsi="Times New Roman Regular" w:eastAsia="仿宋_GB2312" w:cs="Times New Roman Regular"/>
          <w:bCs/>
          <w:sz w:val="30"/>
          <w:szCs w:val="30"/>
          <w:lang w:bidi="en-US"/>
        </w:rPr>
        <w:t>生态</w:t>
      </w:r>
      <w:r>
        <w:rPr>
          <w:rFonts w:ascii="Times New Roman Regular" w:hAnsi="Times New Roman Regular" w:eastAsia="仿宋_GB2312" w:cs="Times New Roman Regular"/>
          <w:bCs/>
          <w:sz w:val="30"/>
          <w:szCs w:val="30"/>
          <w:lang w:val="zh-CN" w:bidi="en-US"/>
        </w:rPr>
        <w:t>环境信息和企业强制性</w:t>
      </w:r>
      <w:r>
        <w:rPr>
          <w:rFonts w:ascii="Times New Roman Regular" w:hAnsi="Times New Roman Regular" w:eastAsia="仿宋_GB2312" w:cs="Times New Roman Regular"/>
          <w:bCs/>
          <w:sz w:val="30"/>
          <w:szCs w:val="30"/>
          <w:lang w:bidi="en-US"/>
        </w:rPr>
        <w:t>生态</w:t>
      </w:r>
      <w:r>
        <w:rPr>
          <w:rFonts w:ascii="Times New Roman Regular" w:hAnsi="Times New Roman Regular" w:eastAsia="仿宋_GB2312" w:cs="Times New Roman Regular"/>
          <w:bCs/>
          <w:sz w:val="30"/>
          <w:szCs w:val="30"/>
          <w:lang w:val="zh-CN" w:bidi="en-US"/>
        </w:rPr>
        <w:t>环境信息公开的</w:t>
      </w:r>
      <w:r>
        <w:rPr>
          <w:rFonts w:hint="eastAsia" w:ascii="Times New Roman Regular" w:hAnsi="Times New Roman Regular" w:eastAsia="仿宋_GB2312" w:cs="Times New Roman Regular"/>
          <w:bCs/>
          <w:sz w:val="30"/>
          <w:szCs w:val="30"/>
          <w:lang w:val="zh-CN" w:bidi="en-US"/>
        </w:rPr>
        <w:t>情况</w:t>
      </w:r>
      <w:r>
        <w:rPr>
          <w:rFonts w:ascii="Times New Roman Regular" w:hAnsi="Times New Roman Regular" w:eastAsia="仿宋_GB2312" w:cs="Times New Roman Regular"/>
          <w:bCs/>
          <w:sz w:val="30"/>
          <w:szCs w:val="30"/>
          <w:lang w:val="zh-CN" w:bidi="en-US"/>
        </w:rPr>
        <w:t>。生态环境信息公开工作按照《政府信息公开条例》（国务院令第711号）《环境信息公开办法（试行）》（原国家环保总局令第35号）要求开展，其中污染源环境信息公开的具体内容和标准，按照《企事业单位环境信息公开办法》（环境保护部令第31号）《关于加强污染源环境监管信息公开工作的通知》（环发〔2013〕74号）《关于印发&lt;国家重点监控企业自行监测及信息公开办法（试行）&gt;和&lt;国家重点监控企业污染源监督性监测及信息公开办法（试行）&gt;的通知》（环发〔2013〕81号）等要求执行。</w:t>
      </w:r>
    </w:p>
    <w:p>
      <w:pPr>
        <w:adjustRightInd w:val="0"/>
        <w:snapToGrid w:val="0"/>
        <w:spacing w:line="360" w:lineRule="auto"/>
        <w:ind w:firstLine="602" w:firstLineChars="200"/>
        <w:rPr>
          <w:rFonts w:ascii="Times New Roman Regular" w:hAnsi="Times New Roman Regular" w:eastAsia="仿宋_GB2312" w:cs="Times New Roman Regular"/>
          <w:bCs/>
          <w:sz w:val="28"/>
          <w:szCs w:val="28"/>
        </w:rPr>
      </w:pPr>
      <w:r>
        <w:rPr>
          <w:rFonts w:ascii="Times New Roman Regular" w:hAnsi="Times New Roman Regular" w:eastAsia="仿宋_GB2312" w:cs="Times New Roman Regular"/>
          <w:b/>
          <w:sz w:val="30"/>
          <w:szCs w:val="30"/>
          <w:lang w:val="zh-CN" w:bidi="en-US"/>
        </w:rPr>
        <w:t>数据来源：</w:t>
      </w:r>
      <w:r>
        <w:rPr>
          <w:rFonts w:hint="eastAsia" w:ascii="Times New Roman Regular" w:hAnsi="Times New Roman Regular" w:eastAsia="仿宋_GB2312" w:cs="Times New Roman Regular"/>
          <w:bCs/>
          <w:sz w:val="30"/>
          <w:szCs w:val="30"/>
          <w:lang w:val="zh-CN" w:bidi="en-US"/>
        </w:rPr>
        <w:t>政府办、</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7" w:name="_Toc869952696_WPSOffice_Level1"/>
      <w:r>
        <w:rPr>
          <w:rFonts w:hint="eastAsia" w:ascii="Times New Roman Regular" w:hAnsi="Times New Roman Regular" w:eastAsia="仿宋_GB2312" w:cs="Times New Roman Regular"/>
          <w:b/>
          <w:sz w:val="30"/>
          <w:szCs w:val="30"/>
          <w:lang w:bidi="en-US"/>
        </w:rPr>
        <w:t>执行</w:t>
      </w:r>
      <w:r>
        <w:rPr>
          <w:rFonts w:ascii="Times New Roman Regular" w:hAnsi="Times New Roman Regular" w:eastAsia="仿宋_GB2312" w:cs="Times New Roman Regular"/>
          <w:b/>
          <w:sz w:val="30"/>
          <w:szCs w:val="30"/>
          <w:lang w:val="zh-CN" w:bidi="en-US"/>
        </w:rPr>
        <w:t>环境影响评价和排污许可</w:t>
      </w:r>
      <w:bookmarkEnd w:id="17"/>
      <w:r>
        <w:rPr>
          <w:rFonts w:hint="eastAsia" w:ascii="Times New Roman Regular" w:hAnsi="Times New Roman Regular" w:eastAsia="仿宋_GB2312" w:cs="Times New Roman Regular"/>
          <w:b/>
          <w:sz w:val="30"/>
          <w:szCs w:val="30"/>
          <w:lang w:bidi="en-US"/>
        </w:rPr>
        <w:t>制度</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（1）依法开展规划环境影响评价</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创建地区依据有关生态环境保护标准、环境影响评价技术导则和技术规范，对其组织编制的土地利用有关规划和区域、流域、海域的建设、开发利用规划，以及工业、农业、畜牧业、林业、能源、水利、交通、城市建设、旅游、自然资源开发的有关专项规划，进行环境影响评价。</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及相关</w:t>
      </w:r>
      <w:r>
        <w:rPr>
          <w:rFonts w:ascii="Times New Roman Regular" w:hAnsi="Times New Roman Regular" w:eastAsia="仿宋_GB2312" w:cs="Times New Roman Regular"/>
          <w:bCs/>
          <w:sz w:val="30"/>
          <w:szCs w:val="30"/>
          <w:lang w:val="zh-CN" w:bidi="en-US"/>
        </w:rPr>
        <w:t>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（2）排污许可证核发</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根据排污许可制管理方法、工作规程，依法依规办理固定源排污许可证的新办、续期、变更、注销等审批事项，按行业分步开展固定源排污许可证核发。控制污染物排放许可制是依法规范企事业单位排污行为的基础性环境管理制度，生态环境部门通过对企事业单位发放排污许可证，依证监管实施排污许可制。</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生态环境部门。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8" w:name="_Toc1226292896_WPSOffice_Level1"/>
      <w:r>
        <w:rPr>
          <w:rFonts w:ascii="Times New Roman Regular" w:hAnsi="Times New Roman Regular" w:eastAsia="仿宋_GB2312" w:cs="Times New Roman Regular"/>
          <w:b/>
          <w:sz w:val="30"/>
          <w:szCs w:val="30"/>
          <w:lang w:val="zh-CN" w:bidi="en-US"/>
        </w:rPr>
        <w:t>环境空气质量</w:t>
      </w:r>
      <w:bookmarkEnd w:id="18"/>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（1）优良天数比例</w:t>
      </w:r>
    </w:p>
    <w:p>
      <w:pPr>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指行政区域内空气质量达到或优于二级标准的天数占全年有效监测天数的比例。执行《环境空气质量标准》（GB3095-2012）和《环境空气质量指数（AQI）技术规定（试行）》（HJ633-2012）。</w:t>
      </w:r>
    </w:p>
    <w:p>
      <w:pPr>
        <w:ind w:firstLine="600"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Cs/>
          <w:sz w:val="30"/>
          <w:szCs w:val="30"/>
          <w:lang w:val="zh-CN" w:bidi="en-US"/>
        </w:rPr>
        <w:t>应提供可查证的连续</w:t>
      </w:r>
      <w:r>
        <w:rPr>
          <w:rFonts w:hint="eastAsia" w:ascii="Times New Roman Regular" w:hAnsi="Times New Roman Regular" w:eastAsia="仿宋_GB2312" w:cs="Times New Roman Regular"/>
          <w:bCs/>
          <w:sz w:val="30"/>
          <w:szCs w:val="30"/>
          <w:lang w:bidi="en-US"/>
        </w:rPr>
        <w:t>3</w:t>
      </w:r>
      <w:r>
        <w:rPr>
          <w:rFonts w:ascii="Times New Roman Regular" w:hAnsi="Times New Roman Regular" w:eastAsia="仿宋_GB2312" w:cs="Times New Roman Regular"/>
          <w:bCs/>
          <w:sz w:val="30"/>
          <w:szCs w:val="30"/>
          <w:lang w:val="zh-CN" w:bidi="en-US"/>
        </w:rPr>
        <w:t>年</w:t>
      </w:r>
      <w:r>
        <w:rPr>
          <w:rFonts w:hint="eastAsia" w:ascii="Times New Roman Regular" w:hAnsi="Times New Roman Regular" w:eastAsia="仿宋_GB2312" w:cs="Times New Roman Regular"/>
          <w:bCs/>
          <w:sz w:val="30"/>
          <w:szCs w:val="30"/>
          <w:lang w:val="zh-CN" w:bidi="en-US"/>
        </w:rPr>
        <w:t>以上</w:t>
      </w:r>
      <w:r>
        <w:rPr>
          <w:rFonts w:ascii="Times New Roman Regular" w:hAnsi="Times New Roman Regular" w:eastAsia="仿宋_GB2312" w:cs="Times New Roman Regular"/>
          <w:bCs/>
          <w:sz w:val="30"/>
          <w:szCs w:val="30"/>
          <w:lang w:val="zh-CN" w:bidi="en-US"/>
        </w:rPr>
        <w:t>数据佐证材料，包括但不限于监测报告等基础数据和各年度相关工作考核汇报材料。</w:t>
      </w:r>
    </w:p>
    <w:p>
      <w:pPr>
        <w:adjustRightInd w:val="0"/>
        <w:snapToGrid w:val="0"/>
        <w:spacing w:line="348" w:lineRule="auto"/>
        <w:rPr>
          <w:rFonts w:ascii="仿宋_GB2312" w:hAnsi="仿宋_GB2312" w:eastAsia="仿宋_GB2312" w:cs="仿宋_GB2312"/>
          <w:bCs/>
          <w:sz w:val="24"/>
          <w:szCs w:val="24"/>
          <w:lang w:val="zh-CN" w:bidi="en-US"/>
        </w:rPr>
      </w:pPr>
      <m:oMathPara>
        <m:oMath>
          <m:r>
            <m:rPr>
              <m:sty m:val="p"/>
            </m:rPr>
            <w:rPr>
              <w:rFonts w:hint="eastAsia" w:ascii="Cambria Math" w:hAnsi="Cambria Math" w:eastAsia="仿宋_GB2312" w:cs="仿宋_GB2312"/>
              <w:sz w:val="24"/>
              <w:szCs w:val="24"/>
            </w:rPr>
            <m:t>优良天数比例=</m:t>
          </m:r>
          <m:f>
            <m:fPr>
              <m:ctrlPr>
                <w:rPr>
                  <w:rFonts w:hint="eastAsia" w:ascii="Cambria Math" w:hAnsi="Cambria Math" w:eastAsia="仿宋_GB2312" w:cs="仿宋_GB2312"/>
                  <w:sz w:val="24"/>
                  <w:szCs w:val="24"/>
                </w:rPr>
              </m:ctrlPr>
            </m:fPr>
            <m:num>
              <m:r>
                <m:rPr>
                  <m:sty m:val="p"/>
                </m:rPr>
                <w:rPr>
                  <w:rFonts w:hint="eastAsia" w:ascii="Cambria Math" w:hAnsi="Cambria Math" w:eastAsia="仿宋_GB2312" w:cs="仿宋_GB2312"/>
                  <w:sz w:val="24"/>
                  <w:szCs w:val="24"/>
                </w:rPr>
                <m:t>空气质量达到或优于二级标准的天数</m:t>
              </m:r>
              <m:ctrlPr>
                <w:rPr>
                  <w:rFonts w:hint="eastAsia" w:ascii="Cambria Math" w:hAnsi="Cambria Math" w:eastAsia="仿宋_GB2312" w:cs="仿宋_GB2312"/>
                  <w:sz w:val="24"/>
                  <w:szCs w:val="24"/>
                </w:rPr>
              </m:ctrlPr>
            </m:num>
            <m:den>
              <m:r>
                <m:rPr>
                  <m:sty m:val="p"/>
                </m:rPr>
                <w:rPr>
                  <w:rFonts w:hint="eastAsia" w:ascii="Cambria Math" w:hAnsi="Cambria Math" w:eastAsia="仿宋_GB2312" w:cs="仿宋_GB2312"/>
                  <w:sz w:val="24"/>
                  <w:szCs w:val="24"/>
                </w:rPr>
                <m:t>全年有效监测天数</m:t>
              </m:r>
              <m:ctrlPr>
                <w:rPr>
                  <w:rFonts w:hint="eastAsia" w:ascii="Cambria Math" w:hAnsi="Cambria Math" w:eastAsia="仿宋_GB2312" w:cs="仿宋_GB2312"/>
                  <w:sz w:val="24"/>
                  <w:szCs w:val="24"/>
                </w:rPr>
              </m:ctrlPr>
            </m:den>
          </m:f>
          <m:r>
            <m:rPr>
              <m:sty m:val="p"/>
            </m:rPr>
            <w:rPr>
              <w:rFonts w:hint="eastAsia" w:ascii="Cambria Math" w:hAnsi="Cambria Math" w:eastAsia="仿宋_GB2312" w:cs="仿宋_GB2312"/>
              <w:sz w:val="24"/>
              <w:szCs w:val="24"/>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（2）环境</w:t>
      </w:r>
      <w:r>
        <w:rPr>
          <w:rFonts w:hint="eastAsia" w:ascii="Times New Roman Regular" w:hAnsi="Times New Roman Regular" w:eastAsia="仿宋_GB2312" w:cs="Times New Roman Regular"/>
          <w:b/>
          <w:sz w:val="30"/>
          <w:szCs w:val="30"/>
        </w:rPr>
        <w:t>空气污染物</w:t>
      </w:r>
      <w:r>
        <w:rPr>
          <w:rFonts w:ascii="Times New Roman Regular" w:hAnsi="Times New Roman Regular" w:eastAsia="仿宋_GB2312" w:cs="Times New Roman Regular"/>
          <w:b/>
          <w:sz w:val="30"/>
          <w:szCs w:val="30"/>
        </w:rPr>
        <w:t>基本项目浓度年均值</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指环境空气</w:t>
      </w:r>
      <w:r>
        <w:rPr>
          <w:rFonts w:ascii="Times New Roman Regular" w:hAnsi="Times New Roman Regular" w:eastAsia="仿宋_GB2312" w:cs="Times New Roman Regular"/>
          <w:bCs/>
          <w:sz w:val="30"/>
          <w:szCs w:val="30"/>
          <w:lang w:bidi="en-US"/>
        </w:rPr>
        <w:t>污染物基本项目浓度</w:t>
      </w:r>
      <w:r>
        <w:rPr>
          <w:rFonts w:ascii="Times New Roman Regular" w:hAnsi="Times New Roman Regular" w:eastAsia="仿宋_GB2312" w:cs="Times New Roman Regular"/>
          <w:bCs/>
          <w:sz w:val="30"/>
          <w:szCs w:val="30"/>
          <w:lang w:val="zh-CN" w:bidi="en-US"/>
        </w:rPr>
        <w:t>年均值统计结果，包含</w:t>
      </w:r>
      <w:r>
        <w:rPr>
          <w:rFonts w:ascii="Times New Roman Regular" w:hAnsi="Times New Roman Regular" w:eastAsia="仿宋_GB2312" w:cs="Times New Roman Regular"/>
          <w:bCs/>
          <w:sz w:val="30"/>
          <w:szCs w:val="30"/>
          <w:lang w:bidi="en-US"/>
        </w:rPr>
        <w:t>以下6项：</w:t>
      </w:r>
      <w:r>
        <w:rPr>
          <w:rFonts w:ascii="Times New Roman Regular" w:hAnsi="Times New Roman Regular" w:eastAsia="仿宋_GB2312" w:cs="Times New Roman Regular"/>
          <w:bCs/>
          <w:sz w:val="30"/>
          <w:szCs w:val="30"/>
          <w:lang w:val="zh-CN" w:bidi="en-US"/>
        </w:rPr>
        <w:t>二氧化硫</w:t>
      </w:r>
      <w:r>
        <w:rPr>
          <w:rFonts w:hint="eastAsia" w:ascii="Times New Roman Regular" w:hAnsi="Times New Roman Regular" w:eastAsia="仿宋_GB2312" w:cs="Times New Roman Regular"/>
          <w:bCs/>
          <w:sz w:val="30"/>
          <w:szCs w:val="30"/>
          <w:lang w:val="zh-CN" w:bidi="en-US"/>
        </w:rPr>
        <w:t>（</w:t>
      </w:r>
      <w:r>
        <w:rPr>
          <w:rFonts w:hint="eastAsia" w:ascii="Times New Roman Regular" w:hAnsi="Times New Roman Regular" w:eastAsia="仿宋_GB2312" w:cs="Times New Roman Regular"/>
          <w:bCs/>
          <w:sz w:val="30"/>
          <w:szCs w:val="30"/>
          <w:lang w:bidi="en-US"/>
        </w:rPr>
        <w:t>SO</w:t>
      </w:r>
      <w:r>
        <w:rPr>
          <w:rFonts w:hint="eastAsia" w:ascii="Times New Roman Regular" w:hAnsi="Times New Roman Regular" w:eastAsia="仿宋_GB2312" w:cs="Times New Roman Regular"/>
          <w:bCs/>
          <w:sz w:val="30"/>
          <w:szCs w:val="30"/>
          <w:vertAlign w:val="subscript"/>
          <w:lang w:bidi="en-US"/>
        </w:rPr>
        <w:t>2</w:t>
      </w:r>
      <w:r>
        <w:rPr>
          <w:rFonts w:hint="eastAsia" w:ascii="Times New Roman Regular" w:hAnsi="Times New Roman Regular" w:eastAsia="仿宋_GB2312" w:cs="Times New Roman Regular"/>
          <w:bCs/>
          <w:sz w:val="30"/>
          <w:szCs w:val="30"/>
          <w:lang w:val="zh-CN" w:bidi="en-US"/>
        </w:rPr>
        <w:t>）</w:t>
      </w:r>
      <w:r>
        <w:rPr>
          <w:rFonts w:ascii="Times New Roman Regular" w:hAnsi="Times New Roman Regular" w:eastAsia="仿宋_GB2312" w:cs="Times New Roman Regular"/>
          <w:bCs/>
          <w:sz w:val="30"/>
          <w:szCs w:val="30"/>
          <w:lang w:val="zh-CN" w:bidi="en-US"/>
        </w:rPr>
        <w:t>、二氧化氮</w:t>
      </w:r>
      <w:r>
        <w:rPr>
          <w:rFonts w:hint="eastAsia" w:ascii="Times New Roman Regular" w:hAnsi="Times New Roman Regular" w:eastAsia="仿宋_GB2312" w:cs="Times New Roman Regular"/>
          <w:bCs/>
          <w:sz w:val="30"/>
          <w:szCs w:val="30"/>
          <w:lang w:val="zh-CN" w:bidi="en-US"/>
        </w:rPr>
        <w:t>（</w:t>
      </w:r>
      <w:r>
        <w:rPr>
          <w:rFonts w:hint="eastAsia" w:ascii="Times New Roman Regular" w:hAnsi="Times New Roman Regular" w:eastAsia="仿宋_GB2312" w:cs="Times New Roman Regular"/>
          <w:bCs/>
          <w:sz w:val="30"/>
          <w:szCs w:val="30"/>
          <w:lang w:bidi="en-US"/>
        </w:rPr>
        <w:t>NO</w:t>
      </w:r>
      <w:r>
        <w:rPr>
          <w:rFonts w:hint="eastAsia" w:ascii="Times New Roman Regular" w:hAnsi="Times New Roman Regular" w:eastAsia="仿宋_GB2312" w:cs="Times New Roman Regular"/>
          <w:bCs/>
          <w:sz w:val="30"/>
          <w:szCs w:val="30"/>
          <w:vertAlign w:val="subscript"/>
          <w:lang w:bidi="en-US"/>
        </w:rPr>
        <w:t>2</w:t>
      </w:r>
      <w:r>
        <w:rPr>
          <w:rFonts w:hint="eastAsia" w:ascii="Times New Roman Regular" w:hAnsi="Times New Roman Regular" w:eastAsia="仿宋_GB2312" w:cs="Times New Roman Regular"/>
          <w:bCs/>
          <w:sz w:val="30"/>
          <w:szCs w:val="30"/>
          <w:lang w:val="zh-CN" w:bidi="en-US"/>
        </w:rPr>
        <w:t>）</w:t>
      </w:r>
      <w:r>
        <w:rPr>
          <w:rFonts w:ascii="Times New Roman Regular" w:hAnsi="Times New Roman Regular" w:eastAsia="仿宋_GB2312" w:cs="Times New Roman Regular"/>
          <w:bCs/>
          <w:sz w:val="30"/>
          <w:szCs w:val="30"/>
          <w:lang w:val="zh-CN" w:bidi="en-US"/>
        </w:rPr>
        <w:t>、可吸入颗粒物</w:t>
      </w:r>
      <w:r>
        <w:rPr>
          <w:rFonts w:hint="eastAsia" w:ascii="Times New Roman Regular" w:hAnsi="Times New Roman Regular" w:eastAsia="仿宋_GB2312" w:cs="Times New Roman Regular"/>
          <w:bCs/>
          <w:sz w:val="30"/>
          <w:szCs w:val="30"/>
          <w:lang w:val="zh-CN" w:bidi="en-US"/>
        </w:rPr>
        <w:t>（</w:t>
      </w:r>
      <w:r>
        <w:rPr>
          <w:rFonts w:hint="eastAsia" w:ascii="Times New Roman Regular" w:hAnsi="Times New Roman Regular" w:eastAsia="仿宋_GB2312" w:cs="Times New Roman Regular"/>
          <w:bCs/>
          <w:sz w:val="30"/>
          <w:szCs w:val="30"/>
          <w:lang w:bidi="en-US"/>
        </w:rPr>
        <w:t>PM</w:t>
      </w:r>
      <w:r>
        <w:rPr>
          <w:rFonts w:hint="eastAsia" w:ascii="Times New Roman Regular" w:hAnsi="Times New Roman Regular" w:eastAsia="仿宋_GB2312" w:cs="Times New Roman Regular"/>
          <w:bCs/>
          <w:sz w:val="30"/>
          <w:szCs w:val="30"/>
          <w:vertAlign w:val="subscript"/>
          <w:lang w:bidi="en-US"/>
        </w:rPr>
        <w:t>10</w:t>
      </w:r>
      <w:r>
        <w:rPr>
          <w:rFonts w:hint="eastAsia" w:ascii="Times New Roman Regular" w:hAnsi="Times New Roman Regular" w:eastAsia="仿宋_GB2312" w:cs="Times New Roman Regular"/>
          <w:bCs/>
          <w:sz w:val="30"/>
          <w:szCs w:val="30"/>
          <w:lang w:val="zh-CN" w:bidi="en-US"/>
        </w:rPr>
        <w:t>）</w:t>
      </w:r>
      <w:r>
        <w:rPr>
          <w:rFonts w:ascii="Times New Roman Regular" w:hAnsi="Times New Roman Regular" w:eastAsia="仿宋_GB2312" w:cs="Times New Roman Regular"/>
          <w:bCs/>
          <w:sz w:val="30"/>
          <w:szCs w:val="30"/>
          <w:lang w:val="zh-CN" w:bidi="en-US"/>
        </w:rPr>
        <w:t>、细颗粒物</w:t>
      </w:r>
      <w:r>
        <w:rPr>
          <w:rFonts w:hint="eastAsia" w:ascii="Times New Roman Regular" w:hAnsi="Times New Roman Regular" w:eastAsia="仿宋_GB2312" w:cs="Times New Roman Regular"/>
          <w:bCs/>
          <w:sz w:val="30"/>
          <w:szCs w:val="30"/>
          <w:lang w:val="zh-CN" w:bidi="en-US"/>
        </w:rPr>
        <w:t>（</w:t>
      </w:r>
      <w:r>
        <w:rPr>
          <w:rFonts w:hint="eastAsia" w:ascii="Times New Roman Regular" w:hAnsi="Times New Roman Regular" w:eastAsia="仿宋_GB2312" w:cs="Times New Roman Regular"/>
          <w:bCs/>
          <w:sz w:val="30"/>
          <w:szCs w:val="30"/>
          <w:lang w:bidi="en-US"/>
        </w:rPr>
        <w:t>PM</w:t>
      </w:r>
      <w:r>
        <w:rPr>
          <w:rFonts w:hint="eastAsia" w:ascii="Times New Roman Regular" w:hAnsi="Times New Roman Regular" w:eastAsia="仿宋_GB2312" w:cs="Times New Roman Regular"/>
          <w:bCs/>
          <w:sz w:val="30"/>
          <w:szCs w:val="30"/>
          <w:vertAlign w:val="subscript"/>
          <w:lang w:bidi="en-US"/>
        </w:rPr>
        <w:t>2.5</w:t>
      </w:r>
      <w:r>
        <w:rPr>
          <w:rFonts w:hint="eastAsia" w:ascii="Times New Roman Regular" w:hAnsi="Times New Roman Regular" w:eastAsia="仿宋_GB2312" w:cs="Times New Roman Regular"/>
          <w:bCs/>
          <w:sz w:val="30"/>
          <w:szCs w:val="30"/>
          <w:lang w:val="zh-CN" w:bidi="en-US"/>
        </w:rPr>
        <w:t>）</w:t>
      </w:r>
      <w:r>
        <w:rPr>
          <w:rFonts w:ascii="Times New Roman Regular" w:hAnsi="Times New Roman Regular" w:eastAsia="仿宋_GB2312" w:cs="Times New Roman Regular"/>
          <w:bCs/>
          <w:sz w:val="30"/>
          <w:szCs w:val="30"/>
          <w:lang w:val="zh-CN" w:bidi="en-US"/>
        </w:rPr>
        <w:t>、一氧化碳</w:t>
      </w:r>
      <w:r>
        <w:rPr>
          <w:rFonts w:hint="eastAsia" w:ascii="Times New Roman Regular" w:hAnsi="Times New Roman Regular" w:eastAsia="仿宋_GB2312" w:cs="Times New Roman Regular"/>
          <w:bCs/>
          <w:sz w:val="30"/>
          <w:szCs w:val="30"/>
          <w:lang w:val="zh-CN" w:bidi="en-US"/>
        </w:rPr>
        <w:t>（</w:t>
      </w:r>
      <w:r>
        <w:rPr>
          <w:rFonts w:hint="eastAsia" w:ascii="Times New Roman Regular" w:hAnsi="Times New Roman Regular" w:eastAsia="仿宋_GB2312" w:cs="Times New Roman Regular"/>
          <w:bCs/>
          <w:sz w:val="30"/>
          <w:szCs w:val="30"/>
          <w:lang w:bidi="en-US"/>
        </w:rPr>
        <w:t>CO</w:t>
      </w:r>
      <w:r>
        <w:rPr>
          <w:rFonts w:hint="eastAsia" w:ascii="Times New Roman Regular" w:hAnsi="Times New Roman Regular" w:eastAsia="仿宋_GB2312" w:cs="Times New Roman Regular"/>
          <w:bCs/>
          <w:sz w:val="30"/>
          <w:szCs w:val="30"/>
          <w:lang w:val="zh-CN" w:bidi="en-US"/>
        </w:rPr>
        <w:t>）</w:t>
      </w:r>
      <w:r>
        <w:rPr>
          <w:rFonts w:ascii="Times New Roman Regular" w:hAnsi="Times New Roman Regular" w:eastAsia="仿宋_GB2312" w:cs="Times New Roman Regular"/>
          <w:bCs/>
          <w:sz w:val="30"/>
          <w:szCs w:val="30"/>
          <w:lang w:val="zh-CN" w:bidi="en-US"/>
        </w:rPr>
        <w:t>、臭氧</w:t>
      </w:r>
      <w:r>
        <w:rPr>
          <w:rFonts w:hint="eastAsia" w:ascii="Times New Roman Regular" w:hAnsi="Times New Roman Regular" w:eastAsia="仿宋_GB2312" w:cs="Times New Roman Regular"/>
          <w:bCs/>
          <w:sz w:val="30"/>
          <w:szCs w:val="30"/>
          <w:lang w:val="zh-CN" w:bidi="en-US"/>
        </w:rPr>
        <w:t>（</w:t>
      </w:r>
      <w:r>
        <w:rPr>
          <w:rFonts w:hint="eastAsia" w:ascii="Times New Roman Regular" w:hAnsi="Times New Roman Regular" w:eastAsia="仿宋_GB2312" w:cs="Times New Roman Regular"/>
          <w:bCs/>
          <w:sz w:val="30"/>
          <w:szCs w:val="30"/>
          <w:lang w:bidi="en-US"/>
        </w:rPr>
        <w:t>O</w:t>
      </w:r>
      <w:r>
        <w:rPr>
          <w:rFonts w:hint="eastAsia" w:ascii="Times New Roman Regular" w:hAnsi="Times New Roman Regular" w:eastAsia="仿宋_GB2312" w:cs="Times New Roman Regular"/>
          <w:bCs/>
          <w:sz w:val="30"/>
          <w:szCs w:val="30"/>
          <w:vertAlign w:val="subscript"/>
          <w:lang w:bidi="en-US"/>
        </w:rPr>
        <w:t>3</w:t>
      </w:r>
      <w:r>
        <w:rPr>
          <w:rFonts w:hint="eastAsia" w:ascii="Times New Roman Regular" w:hAnsi="Times New Roman Regular" w:eastAsia="仿宋_GB2312" w:cs="Times New Roman Regular"/>
          <w:bCs/>
          <w:sz w:val="30"/>
          <w:szCs w:val="30"/>
          <w:lang w:val="zh-CN" w:bidi="en-US"/>
        </w:rPr>
        <w:t>）</w:t>
      </w:r>
      <w:r>
        <w:rPr>
          <w:rFonts w:ascii="Times New Roman Regular" w:hAnsi="Times New Roman Regular" w:eastAsia="仿宋_GB2312" w:cs="Times New Roman Regular"/>
          <w:bCs/>
          <w:sz w:val="30"/>
          <w:szCs w:val="30"/>
          <w:lang w:val="zh-CN" w:bidi="en-US"/>
        </w:rPr>
        <w:t>。执行《环境空气质量标准》（GB3095-2012）</w:t>
      </w:r>
      <w:r>
        <w:rPr>
          <w:rFonts w:ascii="Times New Roman Regular" w:hAnsi="Times New Roman Regular" w:eastAsia="仿宋_GB2312" w:cs="Times New Roman Regular"/>
          <w:bCs/>
          <w:sz w:val="30"/>
          <w:szCs w:val="30"/>
          <w:lang w:bidi="en-US"/>
        </w:rPr>
        <w:t>。</w:t>
      </w:r>
      <w:r>
        <w:rPr>
          <w:rFonts w:ascii="Times New Roman Regular" w:hAnsi="Times New Roman Regular" w:eastAsia="仿宋_GB2312" w:cs="Times New Roman Regular"/>
          <w:bCs/>
          <w:sz w:val="30"/>
          <w:szCs w:val="30"/>
          <w:lang w:val="zh-CN" w:bidi="en-US"/>
        </w:rPr>
        <w:t>其中一氧化碳年均值核算方式为一氧化碳日均值第95百分位数，臭氧年均值核算方式为臭氧日最大8小时值第90百分位数。</w:t>
      </w:r>
    </w:p>
    <w:p>
      <w:pPr>
        <w:adjustRightInd w:val="0"/>
        <w:snapToGrid w:val="0"/>
        <w:spacing w:line="348" w:lineRule="auto"/>
        <w:ind w:firstLine="600"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Cs/>
          <w:sz w:val="30"/>
          <w:szCs w:val="30"/>
          <w:lang w:val="zh-CN" w:bidi="en-US"/>
        </w:rPr>
        <w:t>数据佐证材料要求参照“优良天数比例”。</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19" w:name="_Toc904142813_WPSOffice_Level1"/>
      <w:r>
        <w:rPr>
          <w:rFonts w:ascii="Times New Roman Regular" w:hAnsi="Times New Roman Regular" w:eastAsia="仿宋_GB2312" w:cs="Times New Roman Regular"/>
          <w:b/>
          <w:sz w:val="30"/>
          <w:szCs w:val="30"/>
          <w:lang w:val="zh-CN" w:bidi="en-US"/>
        </w:rPr>
        <w:t>水环境质量</w:t>
      </w:r>
      <w:bookmarkEnd w:id="19"/>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（1）地表水水质达到或优于 Ⅲ 类比例</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w:t>
      </w:r>
      <w:r>
        <w:rPr>
          <w:rFonts w:hint="eastAsia" w:ascii="Times New Roman Regular" w:hAnsi="Times New Roman Regular" w:eastAsia="仿宋_GB2312" w:cs="Times New Roman Regular"/>
          <w:bCs/>
          <w:sz w:val="30"/>
          <w:szCs w:val="30"/>
          <w:lang w:val="zh-CN" w:bidi="en-US"/>
        </w:rPr>
        <w:t>对照与</w:t>
      </w:r>
      <w:r>
        <w:rPr>
          <w:rFonts w:ascii="Times New Roman Regular" w:hAnsi="Times New Roman Regular" w:eastAsia="仿宋_GB2312" w:cs="Times New Roman Regular"/>
          <w:bCs/>
          <w:sz w:val="30"/>
          <w:szCs w:val="30"/>
          <w:lang w:val="zh-CN" w:bidi="en-US"/>
        </w:rPr>
        <w:t>上级人民政府签订的《水污染防治目标责任书》</w:t>
      </w:r>
      <w:r>
        <w:rPr>
          <w:rFonts w:hint="eastAsia" w:ascii="Times New Roman Regular" w:hAnsi="Times New Roman Regular" w:eastAsia="仿宋_GB2312" w:cs="Times New Roman Regular"/>
          <w:bCs/>
          <w:sz w:val="30"/>
          <w:szCs w:val="30"/>
          <w:lang w:val="zh-CN" w:bidi="en-US"/>
        </w:rPr>
        <w:t>或其他考核目标任务，辖区内</w:t>
      </w:r>
      <w:r>
        <w:rPr>
          <w:rFonts w:ascii="Times New Roman Regular" w:hAnsi="Times New Roman Regular" w:eastAsia="仿宋_GB2312" w:cs="Times New Roman Regular"/>
          <w:bCs/>
          <w:sz w:val="30"/>
          <w:szCs w:val="30"/>
          <w:lang w:val="zh-CN" w:bidi="en-US"/>
        </w:rPr>
        <w:t>地表水国控</w:t>
      </w:r>
      <w:r>
        <w:rPr>
          <w:rFonts w:hint="eastAsia" w:ascii="Times New Roman Regular" w:hAnsi="Times New Roman Regular" w:eastAsia="仿宋_GB2312" w:cs="Times New Roman Regular"/>
          <w:bCs/>
          <w:sz w:val="30"/>
          <w:szCs w:val="30"/>
          <w:lang w:bidi="en-US"/>
        </w:rPr>
        <w:t>及</w:t>
      </w:r>
      <w:r>
        <w:rPr>
          <w:rFonts w:ascii="Times New Roman Regular" w:hAnsi="Times New Roman Regular" w:eastAsia="仿宋_GB2312" w:cs="Times New Roman Regular"/>
          <w:bCs/>
          <w:sz w:val="30"/>
          <w:szCs w:val="30"/>
          <w:lang w:val="zh-CN" w:bidi="en-US"/>
        </w:rPr>
        <w:t>省控监测断面的水质状况达到或优于Ⅲ类断面比例应达到相应年度</w:t>
      </w:r>
      <w:r>
        <w:rPr>
          <w:rFonts w:hint="eastAsia" w:ascii="Times New Roman Regular" w:hAnsi="Times New Roman Regular" w:eastAsia="仿宋_GB2312" w:cs="Times New Roman Regular"/>
          <w:bCs/>
          <w:sz w:val="30"/>
          <w:szCs w:val="30"/>
          <w:lang w:val="zh-CN" w:bidi="en-US"/>
        </w:rPr>
        <w:t>考核</w:t>
      </w:r>
      <w:r>
        <w:rPr>
          <w:rFonts w:ascii="Times New Roman Regular" w:hAnsi="Times New Roman Regular" w:eastAsia="仿宋_GB2312" w:cs="Times New Roman Regular"/>
          <w:bCs/>
          <w:sz w:val="30"/>
          <w:szCs w:val="30"/>
          <w:lang w:val="zh-CN" w:bidi="en-US"/>
        </w:rPr>
        <w:t>要求</w:t>
      </w:r>
      <w:r>
        <w:rPr>
          <w:rFonts w:hint="eastAsia" w:ascii="Times New Roman Regular" w:hAnsi="Times New Roman Regular" w:eastAsia="仿宋_GB2312" w:cs="Times New Roman Regular"/>
          <w:bCs/>
          <w:sz w:val="30"/>
          <w:szCs w:val="30"/>
          <w:lang w:val="zh-CN" w:bidi="en-US"/>
        </w:rPr>
        <w:t>的情况</w:t>
      </w:r>
      <w:r>
        <w:rPr>
          <w:rFonts w:ascii="Times New Roman Regular" w:hAnsi="Times New Roman Regular" w:eastAsia="仿宋_GB2312" w:cs="Times New Roman Regular"/>
          <w:bCs/>
          <w:sz w:val="30"/>
          <w:szCs w:val="30"/>
          <w:lang w:val="zh-CN" w:bidi="en-US"/>
        </w:rPr>
        <w:t>；无国控、省控断面的则考核市控断面。执行《地表水环境质量标准》（GB3838-2002）。</w:t>
      </w:r>
    </w:p>
    <w:p>
      <w:pPr>
        <w:adjustRightInd w:val="0"/>
        <w:snapToGrid w:val="0"/>
        <w:spacing w:line="348" w:lineRule="auto"/>
        <w:ind w:firstLine="600"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Cs/>
          <w:sz w:val="30"/>
          <w:szCs w:val="30"/>
          <w:lang w:val="zh-CN" w:bidi="en-US"/>
        </w:rPr>
        <w:t>数据佐证材料要求参照“环境空气质量优良天数比例”。</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（2）地表水劣V类水体比例</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w:t>
      </w:r>
      <w:r>
        <w:rPr>
          <w:rFonts w:hint="eastAsia" w:ascii="Times New Roman Regular" w:hAnsi="Times New Roman Regular" w:eastAsia="仿宋_GB2312" w:cs="Times New Roman Regular"/>
          <w:bCs/>
          <w:sz w:val="30"/>
          <w:szCs w:val="30"/>
          <w:lang w:val="zh-CN" w:bidi="en-US"/>
        </w:rPr>
        <w:t>对照与</w:t>
      </w:r>
      <w:r>
        <w:rPr>
          <w:rFonts w:ascii="Times New Roman Regular" w:hAnsi="Times New Roman Regular" w:eastAsia="仿宋_GB2312" w:cs="Times New Roman Regular"/>
          <w:bCs/>
          <w:sz w:val="30"/>
          <w:szCs w:val="30"/>
          <w:lang w:val="zh-CN" w:bidi="en-US"/>
        </w:rPr>
        <w:t>上级人民政府签订的《水污染防治目标责任书》</w:t>
      </w:r>
      <w:r>
        <w:rPr>
          <w:rFonts w:hint="eastAsia" w:ascii="Times New Roman Regular" w:hAnsi="Times New Roman Regular" w:eastAsia="仿宋_GB2312" w:cs="Times New Roman Regular"/>
          <w:bCs/>
          <w:sz w:val="30"/>
          <w:szCs w:val="30"/>
          <w:lang w:val="zh-CN" w:bidi="en-US"/>
        </w:rPr>
        <w:t>或其他考核目标任务，辖区内地表水</w:t>
      </w:r>
      <w:r>
        <w:rPr>
          <w:rFonts w:ascii="Times New Roman Regular" w:hAnsi="Times New Roman Regular" w:eastAsia="仿宋_GB2312" w:cs="Times New Roman Regular"/>
          <w:bCs/>
          <w:sz w:val="30"/>
          <w:szCs w:val="30"/>
          <w:lang w:val="zh-CN" w:bidi="en-US"/>
        </w:rPr>
        <w:t>水质劣于V类断面比例应达到相应年度</w:t>
      </w:r>
      <w:r>
        <w:rPr>
          <w:rFonts w:hint="eastAsia" w:ascii="Times New Roman Regular" w:hAnsi="Times New Roman Regular" w:eastAsia="仿宋_GB2312" w:cs="Times New Roman Regular"/>
          <w:bCs/>
          <w:sz w:val="30"/>
          <w:szCs w:val="30"/>
          <w:lang w:val="zh-CN" w:bidi="en-US"/>
        </w:rPr>
        <w:t>考核</w:t>
      </w:r>
      <w:r>
        <w:rPr>
          <w:rFonts w:ascii="Times New Roman Regular" w:hAnsi="Times New Roman Regular" w:eastAsia="仿宋_GB2312" w:cs="Times New Roman Regular"/>
          <w:bCs/>
          <w:sz w:val="30"/>
          <w:szCs w:val="30"/>
          <w:lang w:val="zh-CN" w:bidi="en-US"/>
        </w:rPr>
        <w:t>要求</w:t>
      </w:r>
      <w:r>
        <w:rPr>
          <w:rFonts w:hint="eastAsia" w:ascii="Times New Roman Regular" w:hAnsi="Times New Roman Regular" w:eastAsia="仿宋_GB2312" w:cs="Times New Roman Regular"/>
          <w:bCs/>
          <w:sz w:val="30"/>
          <w:szCs w:val="30"/>
          <w:lang w:val="zh-CN" w:bidi="en-US"/>
        </w:rPr>
        <w:t>的情况</w:t>
      </w:r>
      <w:r>
        <w:rPr>
          <w:rFonts w:ascii="Times New Roman Regular" w:hAnsi="Times New Roman Regular" w:eastAsia="仿宋_GB2312" w:cs="Times New Roman Regular"/>
          <w:bCs/>
          <w:sz w:val="30"/>
          <w:szCs w:val="30"/>
          <w:lang w:val="zh-CN" w:bidi="en-US"/>
        </w:rPr>
        <w:t>。执行《地表水环境质量标准》（GB3838-2002）。</w:t>
      </w:r>
    </w:p>
    <w:p>
      <w:pPr>
        <w:adjustRightInd w:val="0"/>
        <w:snapToGrid w:val="0"/>
        <w:spacing w:line="348" w:lineRule="auto"/>
        <w:ind w:firstLine="600"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Cs/>
          <w:sz w:val="30"/>
          <w:szCs w:val="30"/>
          <w:lang w:val="zh-CN" w:bidi="en-US"/>
        </w:rPr>
        <w:t>数据佐证材料要求参照“环境空气质量优良天数比例”。</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（3）地下水水质现状</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w:t>
      </w:r>
      <w:r>
        <w:rPr>
          <w:rFonts w:hint="eastAsia" w:ascii="Times New Roman Regular" w:hAnsi="Times New Roman Regular" w:eastAsia="仿宋_GB2312" w:cs="Times New Roman Regular"/>
          <w:bCs/>
          <w:sz w:val="30"/>
          <w:szCs w:val="30"/>
          <w:lang w:val="zh-CN" w:bidi="en-US"/>
        </w:rPr>
        <w:t>对照与</w:t>
      </w:r>
      <w:r>
        <w:rPr>
          <w:rFonts w:ascii="Times New Roman Regular" w:hAnsi="Times New Roman Regular" w:eastAsia="仿宋_GB2312" w:cs="Times New Roman Regular"/>
          <w:bCs/>
          <w:sz w:val="30"/>
          <w:szCs w:val="30"/>
          <w:lang w:val="zh-CN" w:bidi="en-US"/>
        </w:rPr>
        <w:t>上级人民政府签订的《水污染防治目标责任书》</w:t>
      </w:r>
      <w:r>
        <w:rPr>
          <w:rFonts w:hint="eastAsia" w:ascii="Times New Roman Regular" w:hAnsi="Times New Roman Regular" w:eastAsia="仿宋_GB2312" w:cs="Times New Roman Regular"/>
          <w:bCs/>
          <w:sz w:val="30"/>
          <w:szCs w:val="30"/>
          <w:lang w:val="zh-CN" w:bidi="en-US"/>
        </w:rPr>
        <w:t>或其他考核目标任务，辖区内地下水</w:t>
      </w:r>
      <w:r>
        <w:rPr>
          <w:rFonts w:ascii="Times New Roman Regular" w:hAnsi="Times New Roman Regular" w:eastAsia="仿宋_GB2312" w:cs="Times New Roman Regular"/>
          <w:bCs/>
          <w:sz w:val="30"/>
          <w:szCs w:val="30"/>
          <w:lang w:val="zh-CN" w:bidi="en-US"/>
        </w:rPr>
        <w:t>水质级别应保持稳定</w:t>
      </w:r>
      <w:r>
        <w:rPr>
          <w:rFonts w:hint="eastAsia" w:ascii="Times New Roman Regular" w:hAnsi="Times New Roman Regular" w:eastAsia="仿宋_GB2312" w:cs="Times New Roman Regular"/>
          <w:bCs/>
          <w:sz w:val="30"/>
          <w:szCs w:val="30"/>
          <w:lang w:val="zh-CN" w:bidi="en-US"/>
        </w:rPr>
        <w:t>或持续改善</w:t>
      </w:r>
      <w:r>
        <w:rPr>
          <w:rFonts w:ascii="Times New Roman Regular" w:hAnsi="Times New Roman Regular" w:eastAsia="仿宋_GB2312" w:cs="Times New Roman Regular"/>
          <w:bCs/>
          <w:sz w:val="30"/>
          <w:szCs w:val="30"/>
          <w:lang w:val="zh-CN" w:bidi="en-US"/>
        </w:rPr>
        <w:t>。该指标仅涉及贵阳市、遵义市、安顺市、六盘水市和黔东南州的部分区县。</w:t>
      </w:r>
    </w:p>
    <w:p>
      <w:pPr>
        <w:adjustRightInd w:val="0"/>
        <w:snapToGrid w:val="0"/>
        <w:spacing w:line="348" w:lineRule="auto"/>
        <w:ind w:firstLine="600" w:firstLineChars="200"/>
        <w:rPr>
          <w:rFonts w:ascii="Times New Roman" w:hAnsi="Times New Roman" w:eastAsia="仿宋_GB2312"/>
          <w:bCs/>
          <w:sz w:val="30"/>
          <w:szCs w:val="30"/>
          <w:lang w:val="zh-CN" w:bidi="en-US"/>
        </w:rPr>
      </w:pPr>
      <w:r>
        <w:rPr>
          <w:rFonts w:ascii="Times New Roman" w:hAnsi="Times New Roman" w:eastAsia="仿宋_GB2312"/>
          <w:bCs/>
          <w:sz w:val="30"/>
          <w:szCs w:val="30"/>
          <w:lang w:val="zh-CN" w:bidi="en-US"/>
        </w:rPr>
        <w:t>数据佐证材料要求参照“环境空气质量优良天数比例”。</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（4）黑臭水体排查治理</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指标解释：</w:t>
      </w:r>
      <w:r>
        <w:rPr>
          <w:rFonts w:ascii="Times New Roman Regular" w:hAnsi="Times New Roman Regular" w:eastAsia="仿宋_GB2312" w:cs="Times New Roman Regular"/>
          <w:bCs/>
          <w:sz w:val="30"/>
          <w:szCs w:val="30"/>
          <w:lang w:val="zh-CN" w:bidi="en-US"/>
        </w:rPr>
        <w:t>指行政区域内</w:t>
      </w:r>
      <w:r>
        <w:rPr>
          <w:rFonts w:hint="eastAsia" w:ascii="Times New Roman Regular" w:hAnsi="Times New Roman Regular" w:eastAsia="仿宋_GB2312" w:cs="Times New Roman Regular"/>
          <w:bCs/>
          <w:sz w:val="30"/>
          <w:szCs w:val="30"/>
          <w:lang w:bidi="en-US"/>
        </w:rPr>
        <w:t>开展城市建成区黑臭水体经排查与治理后无</w:t>
      </w:r>
      <w:r>
        <w:rPr>
          <w:rFonts w:ascii="Times New Roman Regular" w:hAnsi="Times New Roman Regular" w:eastAsia="仿宋_GB2312" w:cs="Times New Roman Regular"/>
          <w:bCs/>
          <w:sz w:val="30"/>
          <w:szCs w:val="30"/>
          <w:lang w:val="zh-CN" w:bidi="en-US"/>
        </w:rPr>
        <w:t>黑臭水体。</w:t>
      </w:r>
    </w:p>
    <w:p>
      <w:pPr>
        <w:adjustRightInd w:val="0"/>
        <w:snapToGrid w:val="0"/>
        <w:spacing w:line="348" w:lineRule="auto"/>
        <w:ind w:firstLine="602" w:firstLineChars="200"/>
        <w:rPr>
          <w:rFonts w:ascii="Times New Roman Regular" w:hAnsi="Times New Roman Regular" w:eastAsia="仿宋_GB2312" w:cs="Times New Roman Regular"/>
          <w:bCs/>
          <w:sz w:val="30"/>
          <w:szCs w:val="30"/>
          <w:lang w:val="zh-CN" w:bidi="en-US"/>
        </w:rPr>
      </w:pPr>
      <w:r>
        <w:rPr>
          <w:rFonts w:ascii="Times New Roman Regular" w:hAnsi="Times New Roman Regular" w:eastAsia="仿宋_GB2312" w:cs="Times New Roman Regular"/>
          <w:b/>
          <w:sz w:val="30"/>
          <w:szCs w:val="30"/>
          <w:lang w:val="zh-CN" w:bidi="en-US"/>
        </w:rPr>
        <w:t>数据来源：</w:t>
      </w:r>
      <w:r>
        <w:rPr>
          <w:rFonts w:hint="eastAsia" w:ascii="Times New Roman Regular" w:hAnsi="Times New Roman Regular" w:eastAsia="仿宋_GB2312" w:cs="Times New Roman Regular"/>
          <w:bCs/>
          <w:sz w:val="30"/>
          <w:szCs w:val="30"/>
          <w:lang w:val="zh-CN" w:bidi="en-US"/>
        </w:rPr>
        <w:t>住房城乡建设、水务、</w:t>
      </w:r>
      <w:r>
        <w:rPr>
          <w:rFonts w:ascii="Times New Roman Regular" w:hAnsi="Times New Roman Regular" w:eastAsia="仿宋_GB2312" w:cs="Times New Roman Regular"/>
          <w:bCs/>
          <w:sz w:val="30"/>
          <w:szCs w:val="30"/>
          <w:lang w:val="zh-CN" w:bidi="en-US"/>
        </w:rPr>
        <w:t>生态环境</w:t>
      </w:r>
      <w:r>
        <w:rPr>
          <w:rFonts w:hint="eastAsia" w:ascii="Times New Roman Regular" w:hAnsi="Times New Roman Regular" w:eastAsia="仿宋_GB2312" w:cs="Times New Roman Regular"/>
          <w:bCs/>
          <w:sz w:val="30"/>
          <w:szCs w:val="30"/>
          <w:lang w:val="zh-CN" w:bidi="en-US"/>
        </w:rPr>
        <w:t>等</w:t>
      </w:r>
      <w:r>
        <w:rPr>
          <w:rFonts w:ascii="Times New Roman Regular" w:hAnsi="Times New Roman Regular" w:eastAsia="仿宋_GB2312" w:cs="Times New Roman Regular"/>
          <w:bCs/>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0" w:name="_Toc333971919_WPSOffice_Level1"/>
      <w:r>
        <w:rPr>
          <w:rFonts w:ascii="Times New Roman Regular" w:hAnsi="Times New Roman Regular" w:eastAsia="仿宋_GB2312" w:cs="Times New Roman Regular"/>
          <w:b/>
          <w:sz w:val="30"/>
          <w:szCs w:val="30"/>
          <w:lang w:val="zh-CN" w:bidi="en-US"/>
        </w:rPr>
        <w:t>生态环境状况指数</w:t>
      </w:r>
      <w:bookmarkEnd w:id="20"/>
      <w:r>
        <w:rPr>
          <w:rFonts w:ascii="Times New Roman Regular" w:hAnsi="Times New Roman Regular" w:eastAsia="仿宋_GB2312" w:cs="Times New Roman Regular"/>
          <w:sz w:val="30"/>
          <w:szCs w:val="30"/>
          <w:lang w:bidi="en-US"/>
        </w:rPr>
        <w:t>（</w:t>
      </w:r>
      <w:r>
        <w:rPr>
          <w:rFonts w:ascii="Times New Roman Regular" w:hAnsi="Times New Roman Regular" w:eastAsia="仿宋_GB2312" w:cs="Times New Roman Regular"/>
          <w:sz w:val="30"/>
          <w:szCs w:val="30"/>
          <w:lang w:val="zh-CN" w:bidi="en-US"/>
        </w:rPr>
        <w:t>EI</w:t>
      </w:r>
      <w:r>
        <w:rPr>
          <w:rFonts w:ascii="Times New Roman Regular" w:hAnsi="Times New Roman Regular" w:eastAsia="仿宋_GB2312" w:cs="Times New Roman Regular"/>
          <w:sz w:val="30"/>
          <w:szCs w:val="30"/>
          <w:lang w:bidi="en-US"/>
        </w:rPr>
        <w:t>）</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bidi="en-US"/>
        </w:rPr>
        <w:t>指标解释：</w:t>
      </w:r>
      <w:r>
        <w:rPr>
          <w:rFonts w:ascii="Times New Roman Regular" w:hAnsi="Times New Roman Regular" w:eastAsia="仿宋_GB2312" w:cs="Times New Roman Regular"/>
          <w:sz w:val="30"/>
          <w:szCs w:val="30"/>
          <w:lang w:bidi="en-US"/>
        </w:rPr>
        <w:t>生态环境状况指数（</w:t>
      </w:r>
      <w:r>
        <w:rPr>
          <w:rFonts w:ascii="Times New Roman Regular" w:hAnsi="Times New Roman Regular" w:eastAsia="仿宋_GB2312" w:cs="Times New Roman Regular"/>
          <w:sz w:val="30"/>
          <w:szCs w:val="30"/>
          <w:lang w:val="zh-CN" w:bidi="en-US"/>
        </w:rPr>
        <w:t>EI</w:t>
      </w:r>
      <w:r>
        <w:rPr>
          <w:rFonts w:ascii="Times New Roman Regular" w:hAnsi="Times New Roman Regular" w:eastAsia="仿宋_GB2312" w:cs="Times New Roman Regular"/>
          <w:sz w:val="30"/>
          <w:szCs w:val="30"/>
          <w:lang w:bidi="en-US"/>
        </w:rPr>
        <w:t>）</w:t>
      </w:r>
      <w:r>
        <w:rPr>
          <w:rFonts w:ascii="Times New Roman Regular" w:hAnsi="Times New Roman Regular" w:eastAsia="仿宋_GB2312" w:cs="Times New Roman Regular"/>
          <w:sz w:val="30"/>
          <w:szCs w:val="30"/>
          <w:lang w:val="zh-CN" w:bidi="en-US"/>
        </w:rPr>
        <w:t>是表征行政区域生态环境质量状况的生物丰度指数、植被覆盖指数、水网密度指数、土地胁迫指数、污染负荷指数和环境限制指数的综合反映。</w:t>
      </w:r>
      <w:r>
        <w:rPr>
          <w:rFonts w:ascii="Times New Roman Regular" w:hAnsi="Times New Roman Regular" w:eastAsia="仿宋_GB2312" w:cs="Times New Roman Regular"/>
          <w:sz w:val="30"/>
          <w:szCs w:val="30"/>
          <w:lang w:bidi="en-US"/>
        </w:rPr>
        <w:t>要求</w:t>
      </w:r>
      <w:r>
        <w:rPr>
          <w:rFonts w:ascii="Times New Roman Regular" w:hAnsi="Times New Roman Regular" w:eastAsia="仿宋_GB2312" w:cs="Times New Roman Regular"/>
          <w:sz w:val="30"/>
          <w:szCs w:val="30"/>
          <w:lang w:val="zh-CN" w:bidi="en-US"/>
        </w:rPr>
        <w:t>生态环境状况持续改善。执行《生态环境状况评价技术规范》（HJ192-2015）。</w:t>
      </w:r>
    </w:p>
    <w:p>
      <w:pPr>
        <w:adjustRightInd w:val="0"/>
        <w:snapToGrid w:val="0"/>
        <w:spacing w:line="348" w:lineRule="auto"/>
        <w:rPr>
          <w:rFonts w:hint="eastAsia" w:ascii="Cambria Math" w:hAnsi="Cambria Math" w:eastAsia="仿宋" w:cs="Times New Roman Regular"/>
          <w:sz w:val="28"/>
          <w:szCs w:val="28"/>
        </w:rPr>
      </w:pPr>
      <m:oMathPara>
        <m:oMathParaPr>
          <m:jc m:val="center"/>
        </m:oMathParaPr>
        <m:oMath>
          <m:r>
            <m:rPr>
              <m:sty m:val="p"/>
            </m:rPr>
            <w:rPr>
              <w:rFonts w:ascii="Cambria Math" w:hAnsi="Cambria Math" w:eastAsia="仿宋_GB2312"/>
              <w:sz w:val="24"/>
              <w:szCs w:val="24"/>
              <w:lang w:val="zh-CN" w:bidi="en-US"/>
            </w:rPr>
            <m:t>EI=0.35</m:t>
          </m:r>
          <m:r>
            <m:rPr>
              <m:sty m:val="p"/>
            </m:rPr>
            <w:rPr>
              <w:rFonts w:hint="eastAsia" w:ascii="Cambria Math" w:hAnsi="Cambria Math" w:eastAsia="仿宋_GB2312"/>
              <w:sz w:val="24"/>
              <w:szCs w:val="24"/>
              <w:lang w:val="zh-CN" w:bidi="en-US"/>
            </w:rPr>
            <m:t>×生物丰度指数+</m:t>
          </m:r>
          <m:r>
            <m:rPr>
              <m:sty m:val="p"/>
            </m:rPr>
            <w:rPr>
              <w:rFonts w:ascii="Cambria Math" w:hAnsi="Cambria Math" w:eastAsia="仿宋_GB2312"/>
              <w:sz w:val="24"/>
              <w:szCs w:val="24"/>
              <w:lang w:val="zh-CN" w:bidi="en-US"/>
            </w:rPr>
            <m:t>0.25</m:t>
          </m:r>
          <m:r>
            <m:rPr>
              <m:sty m:val="p"/>
            </m:rPr>
            <w:rPr>
              <w:rFonts w:hint="eastAsia" w:ascii="Cambria Math" w:hAnsi="Cambria Math" w:eastAsia="仿宋_GB2312"/>
              <w:sz w:val="24"/>
              <w:szCs w:val="24"/>
              <w:lang w:val="zh-CN" w:bidi="en-US"/>
            </w:rPr>
            <m:t>×植被覆盖指数+</m:t>
          </m:r>
          <m:r>
            <m:rPr>
              <m:sty m:val="p"/>
            </m:rPr>
            <w:rPr>
              <w:rFonts w:ascii="Cambria Math" w:hAnsi="Cambria Math" w:eastAsia="仿宋_GB2312"/>
              <w:sz w:val="24"/>
              <w:szCs w:val="24"/>
              <w:lang w:val="zh-CN" w:bidi="en-US"/>
            </w:rPr>
            <m:t>0.15</m:t>
          </m:r>
          <m:r>
            <m:rPr>
              <m:sty m:val="p"/>
            </m:rPr>
            <w:rPr>
              <w:rFonts w:hint="eastAsia" w:ascii="Cambria Math" w:hAnsi="Cambria Math" w:eastAsia="仿宋_GB2312"/>
              <w:sz w:val="24"/>
              <w:szCs w:val="24"/>
              <w:lang w:val="zh-CN" w:bidi="en-US"/>
            </w:rPr>
            <m:t>×水网密度指数+</m:t>
          </m:r>
          <m:r>
            <m:rPr>
              <m:sty m:val="p"/>
            </m:rPr>
            <w:rPr>
              <w:rFonts w:ascii="Cambria Math" w:hAnsi="Cambria Math" w:eastAsia="仿宋_GB2312"/>
              <w:sz w:val="24"/>
              <w:szCs w:val="24"/>
              <w:lang w:val="zh-CN" w:bidi="en-US"/>
            </w:rPr>
            <m:t>0.15</m:t>
          </m:r>
          <m:r>
            <m:rPr>
              <m:sty m:val="p"/>
            </m:rPr>
            <w:rPr>
              <w:rFonts w:hint="eastAsia" w:ascii="Cambria Math" w:hAnsi="Cambria Math" w:eastAsia="仿宋_GB2312"/>
              <w:sz w:val="24"/>
              <w:szCs w:val="24"/>
              <w:lang w:val="zh-CN" w:bidi="en-US"/>
            </w:rPr>
            <m:t>×（100</m:t>
          </m:r>
          <m:r>
            <m:rPr>
              <m:sty m:val="p"/>
            </m:rPr>
            <w:rPr>
              <w:rFonts w:ascii="Cambria Math" w:hAnsi="Cambria Math" w:eastAsia="仿宋_GB2312"/>
              <w:sz w:val="24"/>
              <w:szCs w:val="24"/>
              <w:lang w:val="zh-CN" w:bidi="en-US"/>
            </w:rPr>
            <m:t>−</m:t>
          </m:r>
          <m:r>
            <m:rPr>
              <m:sty m:val="p"/>
            </m:rPr>
            <w:rPr>
              <w:rFonts w:ascii="Cambria Math" w:hAnsi="Cambria Math" w:eastAsia="仿宋_GB2312"/>
              <w:sz w:val="24"/>
              <w:szCs w:val="24"/>
              <w:lang w:val="zh-CN" w:bidi="en-US"/>
            </w:rPr>
            <w:fldChar w:fldCharType="begin"/>
          </m:r>
          <m:r>
            <m:rPr>
              <m:sty m:val="p"/>
            </m:rPr>
            <w:rPr>
              <w:rFonts w:ascii="Cambria Math" w:hAnsi="Cambria Math" w:eastAsia="仿宋_GB2312"/>
              <w:sz w:val="24"/>
              <w:szCs w:val="24"/>
              <w:lang w:val="zh-CN" w:bidi="en-US"/>
            </w:rPr>
            <m:t xml:space="preserve"> QUOTE  </m:t>
          </m:r>
          <m:r>
            <m:rPr>
              <m:sty m:val="p"/>
            </m:rPr>
            <w:rPr>
              <w:rFonts w:ascii="Cambria Math" w:hAnsi="Cambria Math" w:eastAsia="仿宋_GB2312"/>
              <w:sz w:val="24"/>
              <w:szCs w:val="24"/>
              <w:lang w:val="zh-CN" w:bidi="en-US"/>
            </w:rPr>
            <w:fldChar w:fldCharType="end"/>
          </m:r>
          <m:r>
            <m:rPr>
              <m:sty m:val="p"/>
            </m:rPr>
            <w:rPr>
              <w:rFonts w:hint="eastAsia" w:ascii="Cambria Math" w:hAnsi="Cambria Math" w:eastAsia="仿宋_GB2312"/>
              <w:sz w:val="24"/>
              <w:szCs w:val="24"/>
              <w:lang w:val="zh-CN" w:bidi="en-US"/>
            </w:rPr>
            <m:t>土地胁迫指数）+</m:t>
          </m:r>
          <m:r>
            <m:rPr>
              <m:sty m:val="p"/>
            </m:rPr>
            <w:rPr>
              <w:rFonts w:ascii="Cambria Math" w:hAnsi="Cambria Math" w:eastAsia="仿宋_GB2312"/>
              <w:sz w:val="24"/>
              <w:szCs w:val="24"/>
              <w:lang w:val="zh-CN" w:bidi="en-US"/>
            </w:rPr>
            <m:t>0.10</m:t>
          </m:r>
          <m:r>
            <m:rPr>
              <m:sty m:val="p"/>
            </m:rPr>
            <w:rPr>
              <w:rFonts w:hint="eastAsia" w:ascii="Cambria Math" w:hAnsi="Cambria Math" w:eastAsia="仿宋_GB2312"/>
              <w:sz w:val="24"/>
              <w:szCs w:val="24"/>
              <w:lang w:val="zh-CN" w:bidi="en-US"/>
            </w:rPr>
            <m:t>×（100</m:t>
          </m:r>
          <m:r>
            <m:rPr>
              <m:sty m:val="p"/>
            </m:rPr>
            <w:rPr>
              <w:rFonts w:ascii="Cambria Math" w:hAnsi="Cambria Math" w:eastAsia="仿宋_GB2312"/>
              <w:sz w:val="24"/>
              <w:szCs w:val="24"/>
              <w:lang w:val="zh-CN" w:bidi="en-US"/>
            </w:rPr>
            <m:t>−</m:t>
          </m:r>
          <m:r>
            <m:rPr>
              <m:sty m:val="p"/>
            </m:rPr>
            <w:rPr>
              <w:rFonts w:ascii="Cambria Math" w:hAnsi="Cambria Math" w:eastAsia="仿宋_GB2312"/>
              <w:sz w:val="24"/>
              <w:szCs w:val="24"/>
              <w:lang w:val="zh-CN" w:bidi="en-US"/>
            </w:rPr>
            <w:fldChar w:fldCharType="begin"/>
          </m:r>
          <m:r>
            <m:rPr>
              <m:sty m:val="p"/>
            </m:rPr>
            <w:rPr>
              <w:rFonts w:ascii="Cambria Math" w:hAnsi="Cambria Math" w:eastAsia="仿宋_GB2312"/>
              <w:sz w:val="24"/>
              <w:szCs w:val="24"/>
              <w:lang w:val="zh-CN" w:bidi="en-US"/>
            </w:rPr>
            <m:t xml:space="preserve"> QUOTE  </m:t>
          </m:r>
          <m:r>
            <m:rPr>
              <m:sty m:val="p"/>
            </m:rPr>
            <w:rPr>
              <w:rFonts w:ascii="Cambria Math" w:hAnsi="Cambria Math" w:eastAsia="仿宋_GB2312"/>
              <w:sz w:val="24"/>
              <w:szCs w:val="24"/>
              <w:lang w:val="zh-CN" w:bidi="en-US"/>
            </w:rPr>
            <w:fldChar w:fldCharType="end"/>
          </m:r>
          <m:r>
            <m:rPr>
              <m:sty m:val="p"/>
            </m:rPr>
            <w:rPr>
              <w:rFonts w:hint="eastAsia" w:ascii="Cambria Math" w:hAnsi="Cambria Math" w:eastAsia="仿宋_GB2312"/>
              <w:sz w:val="24"/>
              <w:szCs w:val="24"/>
              <w:lang w:val="zh-CN" w:bidi="en-US"/>
            </w:rPr>
            <m:t>污染负荷指数）+环境限制指数</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生态环境</w:t>
      </w:r>
      <w:r>
        <w:rPr>
          <w:rFonts w:hint="eastAsia" w:ascii="Times New Roman Regular" w:hAnsi="Times New Roman Regular" w:eastAsia="仿宋_GB2312" w:cs="Times New Roman Regular"/>
          <w:sz w:val="30"/>
          <w:szCs w:val="30"/>
          <w:lang w:val="zh-CN" w:bidi="en-US"/>
        </w:rPr>
        <w:t>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1" w:name="_Toc1691273022_WPSOffice_Level1"/>
      <w:r>
        <w:rPr>
          <w:rFonts w:hint="eastAsia" w:ascii="Times New Roman Regular" w:hAnsi="Times New Roman Regular" w:eastAsia="仿宋_GB2312" w:cs="Times New Roman Regular"/>
          <w:b/>
          <w:sz w:val="30"/>
          <w:szCs w:val="30"/>
          <w:lang w:bidi="en-US"/>
        </w:rPr>
        <w:t>森林</w:t>
      </w:r>
      <w:r>
        <w:rPr>
          <w:rFonts w:ascii="Times New Roman Regular" w:hAnsi="Times New Roman Regular" w:eastAsia="仿宋_GB2312" w:cs="Times New Roman Regular"/>
          <w:b/>
          <w:sz w:val="30"/>
          <w:szCs w:val="30"/>
          <w:lang w:val="zh-CN" w:bidi="en-US"/>
        </w:rPr>
        <w:t>覆盖率</w:t>
      </w:r>
      <w:bookmarkEnd w:id="21"/>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指行政区域内森林面积占土地总面积的百分比。森林面积包括郁闭度0.2以上的乔木林地面积和竹林地面积、国家特别规定的灌木林面积、农田林网以及村旁、路旁、水旁、宅旁林木的覆盖面积。</w:t>
      </w:r>
    </w:p>
    <w:p>
      <w:pPr>
        <w:adjustRightInd w:val="0"/>
        <w:snapToGrid w:val="0"/>
        <w:spacing w:line="348" w:lineRule="auto"/>
        <w:rPr>
          <w:rFonts w:ascii="仿宋_GB2312" w:hAnsi="仿宋_GB2312" w:eastAsia="仿宋_GB2312" w:cs="仿宋_GB2312"/>
          <w:sz w:val="24"/>
          <w:szCs w:val="24"/>
        </w:rPr>
      </w:pPr>
      <m:oMathPara>
        <m:oMath>
          <m:r>
            <m:rPr>
              <m:sty m:val="p"/>
            </m:rPr>
            <w:rPr>
              <w:rFonts w:hint="eastAsia" w:ascii="Cambria Math" w:hAnsi="Cambria Math" w:eastAsia="仿宋_GB2312" w:cs="仿宋_GB2312"/>
              <w:sz w:val="24"/>
              <w:szCs w:val="24"/>
            </w:rPr>
            <m:t>林草覆盖率=</m:t>
          </m:r>
          <m:f>
            <m:fPr>
              <m:ctrlPr>
                <w:rPr>
                  <w:rFonts w:hint="eastAsia" w:ascii="Cambria Math" w:hAnsi="Cambria Math" w:eastAsia="仿宋_GB2312" w:cs="仿宋_GB2312"/>
                  <w:sz w:val="24"/>
                  <w:szCs w:val="24"/>
                </w:rPr>
              </m:ctrlPr>
            </m:fPr>
            <m:num>
              <m:r>
                <m:rPr>
                  <m:sty m:val="p"/>
                </m:rPr>
                <w:rPr>
                  <w:rFonts w:hint="eastAsia" w:ascii="Cambria Math" w:hAnsi="Cambria Math" w:eastAsia="仿宋_GB2312" w:cs="仿宋_GB2312"/>
                  <w:sz w:val="24"/>
                  <w:szCs w:val="24"/>
                </w:rPr>
                <m:t>森林面积（平方公里）</m:t>
              </m:r>
              <m:ctrlPr>
                <w:rPr>
                  <w:rFonts w:hint="eastAsia" w:ascii="Cambria Math" w:hAnsi="Cambria Math" w:eastAsia="仿宋_GB2312" w:cs="仿宋_GB2312"/>
                  <w:sz w:val="24"/>
                  <w:szCs w:val="24"/>
                </w:rPr>
              </m:ctrlPr>
            </m:num>
            <m:den>
              <m:r>
                <m:rPr>
                  <m:sty m:val="p"/>
                </m:rPr>
                <w:rPr>
                  <w:rFonts w:hint="eastAsia" w:ascii="Cambria Math" w:hAnsi="Cambria Math" w:eastAsia="仿宋_GB2312" w:cs="仿宋_GB2312"/>
                  <w:sz w:val="24"/>
                  <w:szCs w:val="24"/>
                </w:rPr>
                <m:t>行政区域土地总面积（平方公里）</m:t>
              </m:r>
              <m:ctrlPr>
                <w:rPr>
                  <w:rFonts w:hint="eastAsia" w:ascii="Cambria Math" w:hAnsi="Cambria Math" w:eastAsia="仿宋_GB2312" w:cs="仿宋_GB2312"/>
                  <w:sz w:val="24"/>
                  <w:szCs w:val="24"/>
                </w:rPr>
              </m:ctrlPr>
            </m:den>
          </m:f>
          <m:r>
            <m:rPr>
              <m:sty m:val="p"/>
            </m:rPr>
            <w:rPr>
              <w:rFonts w:hint="eastAsia" w:ascii="Cambria Math" w:hAnsi="Cambria Math" w:eastAsia="仿宋_GB2312" w:cs="仿宋_GB2312"/>
              <w:sz w:val="24"/>
              <w:szCs w:val="24"/>
            </w:rPr>
            <m:t>×100%</m:t>
          </m:r>
        </m:oMath>
      </m:oMathPara>
    </w:p>
    <w:p>
      <w:pPr>
        <w:adjustRightInd w:val="0"/>
        <w:snapToGrid w:val="0"/>
        <w:spacing w:line="348" w:lineRule="auto"/>
        <w:ind w:firstLine="600" w:firstLineChars="200"/>
        <w:rPr>
          <w:rFonts w:ascii="Times New Roman Regular" w:hAnsi="Times New Roman Regular" w:eastAsia="仿宋_GB2312" w:cs="Times New Roman Regular"/>
          <w:sz w:val="30"/>
          <w:szCs w:val="30"/>
          <w:lang w:bidi="en-US"/>
        </w:rPr>
      </w:pPr>
      <w:r>
        <w:rPr>
          <w:rFonts w:ascii="Times New Roman Regular" w:hAnsi="Times New Roman Regular" w:eastAsia="仿宋_GB2312" w:cs="Times New Roman Regular"/>
          <w:sz w:val="30"/>
          <w:szCs w:val="30"/>
          <w:lang w:bidi="en-US"/>
        </w:rPr>
        <w:t>注：若行政区域水域面积占土地总面积的5%以上，指标核算时的土地总面积应为扣除水域面积后的面积。原则上按区域主要地貌类型对应的目标值考核，当行政区域内平原、丘陵、山区面积占比相差不超过20%时，按照平原、丘陵、山地加权目标值进行考核。</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林草、自然资源</w:t>
      </w:r>
      <w:r>
        <w:rPr>
          <w:rFonts w:hint="eastAsia" w:ascii="Times New Roman Regular" w:hAnsi="Times New Roman Regular" w:eastAsia="仿宋_GB2312" w:cs="Times New Roman Regular"/>
          <w:sz w:val="30"/>
          <w:szCs w:val="30"/>
          <w:lang w:val="zh-CN" w:bidi="en-US"/>
        </w:rPr>
        <w:t>、</w:t>
      </w:r>
      <w:r>
        <w:rPr>
          <w:rFonts w:ascii="Times New Roman Regular" w:hAnsi="Times New Roman Regular" w:eastAsia="仿宋_GB2312" w:cs="Times New Roman Regular"/>
          <w:sz w:val="30"/>
          <w:szCs w:val="30"/>
          <w:lang w:val="zh-CN" w:bidi="en-US"/>
        </w:rPr>
        <w:t>农业农村、统计</w:t>
      </w:r>
      <w:r>
        <w:rPr>
          <w:rFonts w:hint="eastAsia" w:ascii="Times New Roman Regular" w:hAnsi="Times New Roman Regular" w:eastAsia="仿宋_GB2312" w:cs="Times New Roman Regular"/>
          <w:sz w:val="30"/>
          <w:szCs w:val="30"/>
          <w:lang w:val="zh-CN" w:bidi="en-US"/>
        </w:rPr>
        <w:t>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2" w:name="_Toc1132129062_WPSOffice_Level1"/>
      <w:r>
        <w:rPr>
          <w:rFonts w:ascii="Times New Roman Regular" w:hAnsi="Times New Roman Regular" w:eastAsia="仿宋_GB2312" w:cs="Times New Roman Regular"/>
          <w:b/>
          <w:sz w:val="30"/>
          <w:szCs w:val="30"/>
          <w:lang w:val="zh-CN" w:bidi="en-US"/>
        </w:rPr>
        <w:t>生物多样性保护</w:t>
      </w:r>
      <w:bookmarkEnd w:id="22"/>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bookmarkStart w:id="23" w:name="_Hlk4594091"/>
      <w:r>
        <w:rPr>
          <w:rFonts w:ascii="Times New Roman Regular" w:hAnsi="Times New Roman Regular" w:eastAsia="仿宋_GB2312" w:cs="Times New Roman Regular"/>
          <w:b/>
          <w:sz w:val="30"/>
          <w:szCs w:val="30"/>
        </w:rPr>
        <w:t>（1）国家重点保护野生动植物保护</w:t>
      </w:r>
      <w:r>
        <w:rPr>
          <w:rFonts w:hint="eastAsia" w:ascii="Times New Roman Regular" w:hAnsi="Times New Roman Regular" w:eastAsia="仿宋_GB2312" w:cs="Times New Roman Regular"/>
          <w:b/>
          <w:sz w:val="30"/>
          <w:szCs w:val="30"/>
        </w:rPr>
        <w:t>情况</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指行政区域内，通过建设自然保护区、划入生态保护红线等保护措施，国家一、二级野生动、植物物种</w:t>
      </w:r>
      <w:r>
        <w:rPr>
          <w:rFonts w:hint="eastAsia" w:ascii="Times New Roman Regular" w:hAnsi="Times New Roman Regular" w:eastAsia="仿宋_GB2312" w:cs="Times New Roman Regular"/>
          <w:sz w:val="30"/>
          <w:szCs w:val="30"/>
          <w:lang w:val="zh-CN" w:bidi="en-US"/>
        </w:rPr>
        <w:t>受到相应保护</w:t>
      </w:r>
      <w:r>
        <w:rPr>
          <w:rFonts w:ascii="Times New Roman Regular" w:hAnsi="Times New Roman Regular" w:eastAsia="仿宋_GB2312" w:cs="Times New Roman Regular"/>
          <w:sz w:val="30"/>
          <w:szCs w:val="30"/>
          <w:lang w:val="zh-CN" w:bidi="en-US"/>
        </w:rPr>
        <w:t>。国家一、二级野生动、植物参照《国家重点保护野生动物名录》和《国家重点保护野生植物名录》。</w:t>
      </w:r>
      <w:r>
        <w:rPr>
          <w:rFonts w:ascii="Times New Roman Regular" w:hAnsi="Times New Roman Regular" w:eastAsia="仿宋_GB2312" w:cs="Times New Roman Regular"/>
          <w:sz w:val="30"/>
          <w:szCs w:val="30"/>
          <w:lang w:bidi="en-US"/>
        </w:rPr>
        <w:t>鼓励创建地区对行政区域内的国家一、二级野生动、植物种数开展调查、科考等工作。</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林草、自然资源、农业农村、生态环境等部门。</w:t>
      </w:r>
    </w:p>
    <w:p>
      <w:pPr>
        <w:numPr>
          <w:ilvl w:val="0"/>
          <w:numId w:val="2"/>
        </w:num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外来物种入侵</w:t>
      </w:r>
    </w:p>
    <w:p>
      <w:pPr>
        <w:adjustRightInd w:val="0"/>
        <w:snapToGrid w:val="0"/>
        <w:spacing w:line="360"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在当地生存繁殖，对当地生态或者经济构成破坏的外来物种的入侵情况。外来物种种类参照《国家重点管理外来物种名录（第一批）》（农业部公告第1897号）、《关于发布中国第一批外来入侵物种名单的通知》（环发〔2003〕11号）、《关于发布中国第二批外来入侵物种名单的通知》（环发〔2010〕4号）、《关于发布中国外来入侵物种名单（第三批）的公告》（环境保护部2014年第57号）。要求没有外来物种入侵，或者存在外来物种入侵，但入侵范围较小、对行政区域生态环境没有产生实质性危害、对国民经济没有造成实质性影响，且已开展相关防治工作，有完备的计划和方案。</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农业农村、林草、自然资源、生态环境</w:t>
      </w:r>
      <w:r>
        <w:rPr>
          <w:rFonts w:hint="eastAsia" w:ascii="Times New Roman Regular" w:hAnsi="Times New Roman Regular" w:eastAsia="仿宋_GB2312" w:cs="Times New Roman Regular"/>
          <w:sz w:val="30"/>
          <w:szCs w:val="30"/>
          <w:lang w:val="zh-CN" w:bidi="en-US"/>
        </w:rPr>
        <w:t>、</w:t>
      </w:r>
      <w:r>
        <w:rPr>
          <w:rFonts w:hint="eastAsia" w:ascii="Times New Roman Regular" w:hAnsi="Times New Roman Regular" w:eastAsia="仿宋_GB2312" w:cs="Times New Roman Regular"/>
          <w:sz w:val="30"/>
          <w:szCs w:val="30"/>
          <w:lang w:bidi="en-US"/>
        </w:rPr>
        <w:t>海关</w:t>
      </w:r>
      <w:r>
        <w:rPr>
          <w:rFonts w:ascii="Times New Roman Regular" w:hAnsi="Times New Roman Regular" w:eastAsia="仿宋_GB2312" w:cs="Times New Roman Regular"/>
          <w:sz w:val="30"/>
          <w:szCs w:val="30"/>
          <w:lang w:val="zh-CN" w:bidi="en-US"/>
        </w:rPr>
        <w:t>等部门。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（3）特有性或指示性水生物种保持率</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指创建地区河流中特有性、指示性物种以及珍稀濒危水生物种的保护状况，以历史水平数据为基准，进行对比分析。要求特有性或指示性水生物种种类和数量不降低。</w:t>
      </w:r>
      <w:r>
        <w:rPr>
          <w:rFonts w:hint="eastAsia" w:ascii="Times New Roman Regular" w:hAnsi="Times New Roman Regular" w:eastAsia="仿宋_GB2312" w:cs="Times New Roman Regular"/>
          <w:sz w:val="30"/>
          <w:szCs w:val="30"/>
          <w:lang w:val="zh-CN" w:bidi="en-US"/>
        </w:rPr>
        <w:t>可</w:t>
      </w:r>
      <w:r>
        <w:rPr>
          <w:rFonts w:ascii="Times New Roman Regular" w:hAnsi="Times New Roman Regular" w:eastAsia="仿宋_GB2312" w:cs="Times New Roman Regular"/>
          <w:sz w:val="30"/>
          <w:szCs w:val="30"/>
          <w:lang w:val="zh-CN" w:bidi="en-US"/>
        </w:rPr>
        <w:t>根据水生物种调查或问卷统计获得。</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调查问卷、相关专家咨询</w:t>
      </w:r>
      <w:r>
        <w:rPr>
          <w:rFonts w:hint="eastAsia" w:ascii="Times New Roman Regular" w:hAnsi="Times New Roman Regular" w:eastAsia="仿宋_GB2312" w:cs="Times New Roman Regular"/>
          <w:sz w:val="30"/>
          <w:szCs w:val="30"/>
          <w:lang w:val="zh-CN" w:bidi="en-US"/>
        </w:rPr>
        <w:t>或</w:t>
      </w:r>
      <w:r>
        <w:rPr>
          <w:rFonts w:ascii="Times New Roman Regular" w:hAnsi="Times New Roman Regular" w:eastAsia="仿宋_GB2312" w:cs="Times New Roman Regular"/>
          <w:sz w:val="30"/>
          <w:szCs w:val="30"/>
          <w:lang w:val="zh-CN" w:bidi="en-US"/>
        </w:rPr>
        <w:t>农业农村</w:t>
      </w:r>
      <w:r>
        <w:rPr>
          <w:rFonts w:hint="eastAsia" w:ascii="Times New Roman Regular" w:hAnsi="Times New Roman Regular" w:eastAsia="仿宋_GB2312" w:cs="Times New Roman Regular"/>
          <w:sz w:val="30"/>
          <w:szCs w:val="30"/>
          <w:lang w:val="zh-CN" w:bidi="en-US"/>
        </w:rPr>
        <w:t>等</w:t>
      </w:r>
      <w:r>
        <w:rPr>
          <w:rFonts w:ascii="Times New Roman Regular" w:hAnsi="Times New Roman Regular" w:eastAsia="仿宋_GB2312" w:cs="Times New Roman Regular"/>
          <w:sz w:val="30"/>
          <w:szCs w:val="30"/>
          <w:lang w:val="zh-CN" w:bidi="en-US"/>
        </w:rPr>
        <w:t>部门。</w:t>
      </w:r>
      <w:bookmarkEnd w:id="23"/>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4" w:name="_Toc988032614_WPSOffice_Level1"/>
      <w:r>
        <w:rPr>
          <w:rFonts w:ascii="Times New Roman Regular" w:hAnsi="Times New Roman Regular" w:eastAsia="仿宋_GB2312" w:cs="Times New Roman Regular"/>
          <w:b/>
          <w:sz w:val="30"/>
          <w:szCs w:val="30"/>
          <w:lang w:val="zh-CN" w:bidi="en-US"/>
        </w:rPr>
        <w:t>危险废物利用处置率</w:t>
      </w:r>
      <w:bookmarkEnd w:id="24"/>
      <w:r>
        <w:rPr>
          <w:rFonts w:ascii="Times New Roman Regular" w:hAnsi="Times New Roman Regular" w:eastAsia="仿宋_GB2312" w:cs="Times New Roman Regular"/>
          <w:b/>
          <w:sz w:val="30"/>
          <w:szCs w:val="30"/>
          <w:lang w:val="zh-CN" w:bidi="en-US"/>
        </w:rPr>
        <w:t xml:space="preserve"> </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行政区域内危险废物实际利用量与处置量占应利用处置量的比例。危险废物指列入《国家危险废物名录》（环境保护部令第39号）或者根据国家规定的危险废物鉴别标准和鉴别方法认定具有危险特性的固体废物。</w:t>
      </w:r>
    </w:p>
    <w:p>
      <w:pPr>
        <w:adjustRightInd w:val="0"/>
        <w:snapToGrid w:val="0"/>
        <w:spacing w:line="348" w:lineRule="auto"/>
        <w:rPr>
          <w:rFonts w:ascii="仿宋_GB2312" w:hAnsi="仿宋_GB2312" w:eastAsia="仿宋_GB2312" w:cs="仿宋_GB2312"/>
          <w:sz w:val="18"/>
          <w:szCs w:val="18"/>
        </w:rPr>
      </w:pPr>
      <m:oMathPara>
        <m:oMath>
          <m:r>
            <m:rPr>
              <m:sty m:val="p"/>
            </m:rPr>
            <w:rPr>
              <w:rFonts w:hint="eastAsia" w:ascii="Cambria Math" w:hAnsi="Cambria Math" w:eastAsia="仿宋_GB2312" w:cs="仿宋_GB2312"/>
              <w:sz w:val="18"/>
              <w:szCs w:val="18"/>
            </w:rPr>
            <m:t>危险废物利用处置率=</m:t>
          </m:r>
          <m:f>
            <m:fPr>
              <m:ctrlPr>
                <w:rPr>
                  <w:rFonts w:hint="eastAsia" w:ascii="Cambria Math" w:hAnsi="Cambria Math" w:eastAsia="仿宋_GB2312" w:cs="仿宋_GB2312"/>
                  <w:sz w:val="18"/>
                  <w:szCs w:val="18"/>
                </w:rPr>
              </m:ctrlPr>
            </m:fPr>
            <m:num>
              <m:r>
                <m:rPr>
                  <m:sty m:val="p"/>
                </m:rPr>
                <w:rPr>
                  <w:rFonts w:hint="eastAsia" w:ascii="Cambria Math" w:hAnsi="Cambria Math" w:eastAsia="仿宋_GB2312" w:cs="仿宋_GB2312"/>
                  <w:sz w:val="18"/>
                  <w:szCs w:val="18"/>
                </w:rPr>
                <m:t>危险废物利用量</m:t>
              </m:r>
              <m:d>
                <m:dPr>
                  <m:begChr m:val="（"/>
                  <m:endChr m:val="）"/>
                  <m:ctrlPr>
                    <w:rPr>
                      <w:rFonts w:hint="eastAsia" w:ascii="Cambria Math" w:hAnsi="Cambria Math" w:eastAsia="仿宋_GB2312" w:cs="仿宋_GB2312"/>
                      <w:sz w:val="18"/>
                      <w:szCs w:val="18"/>
                    </w:rPr>
                  </m:ctrlPr>
                </m:dPr>
                <m:e>
                  <m:r>
                    <m:rPr>
                      <m:sty m:val="p"/>
                    </m:rPr>
                    <w:rPr>
                      <w:rFonts w:hint="eastAsia" w:ascii="Cambria Math" w:hAnsi="Cambria Math" w:eastAsia="仿宋_GB2312" w:cs="仿宋_GB2312"/>
                      <w:sz w:val="18"/>
                      <w:szCs w:val="18"/>
                    </w:rPr>
                    <m:t>吨</m:t>
                  </m:r>
                  <m:ctrlPr>
                    <w:rPr>
                      <w:rFonts w:hint="eastAsia" w:ascii="Cambria Math" w:hAnsi="Cambria Math" w:eastAsia="仿宋_GB2312" w:cs="仿宋_GB2312"/>
                      <w:sz w:val="18"/>
                      <w:szCs w:val="18"/>
                    </w:rPr>
                  </m:ctrlPr>
                </m:e>
              </m:d>
              <m:r>
                <m:rPr>
                  <m:sty m:val="p"/>
                </m:rPr>
                <w:rPr>
                  <w:rFonts w:hint="eastAsia" w:ascii="Cambria Math" w:hAnsi="Cambria Math" w:eastAsia="仿宋_GB2312" w:cs="仿宋_GB2312"/>
                  <w:sz w:val="18"/>
                  <w:szCs w:val="18"/>
                </w:rPr>
                <m:t>+处置量（吨）</m:t>
              </m:r>
              <m:ctrlPr>
                <w:rPr>
                  <w:rFonts w:hint="eastAsia" w:ascii="Cambria Math" w:hAnsi="Cambria Math" w:eastAsia="仿宋_GB2312" w:cs="仿宋_GB2312"/>
                  <w:sz w:val="18"/>
                  <w:szCs w:val="18"/>
                </w:rPr>
              </m:ctrlPr>
            </m:num>
            <m:den>
              <m:r>
                <m:rPr>
                  <m:sty m:val="p"/>
                </m:rPr>
                <w:rPr>
                  <w:rFonts w:hint="eastAsia" w:ascii="Cambria Math" w:hAnsi="Cambria Math" w:eastAsia="仿宋_GB2312" w:cs="仿宋_GB2312"/>
                  <w:sz w:val="18"/>
                  <w:szCs w:val="18"/>
                </w:rPr>
                <m:t>危险废物产生量</m:t>
              </m:r>
              <m:d>
                <m:dPr>
                  <m:begChr m:val="（"/>
                  <m:endChr m:val="）"/>
                  <m:ctrlPr>
                    <w:rPr>
                      <w:rFonts w:hint="eastAsia" w:ascii="Cambria Math" w:hAnsi="Cambria Math" w:eastAsia="仿宋_GB2312" w:cs="仿宋_GB2312"/>
                      <w:sz w:val="18"/>
                      <w:szCs w:val="18"/>
                    </w:rPr>
                  </m:ctrlPr>
                </m:dPr>
                <m:e>
                  <m:r>
                    <m:rPr>
                      <m:sty m:val="p"/>
                    </m:rPr>
                    <w:rPr>
                      <w:rFonts w:hint="eastAsia" w:ascii="Cambria Math" w:hAnsi="Cambria Math" w:eastAsia="仿宋_GB2312" w:cs="仿宋_GB2312"/>
                      <w:sz w:val="18"/>
                      <w:szCs w:val="18"/>
                    </w:rPr>
                    <m:t>吨</m:t>
                  </m:r>
                  <m:ctrlPr>
                    <w:rPr>
                      <w:rFonts w:hint="eastAsia" w:ascii="Cambria Math" w:hAnsi="Cambria Math" w:eastAsia="仿宋_GB2312" w:cs="仿宋_GB2312"/>
                      <w:sz w:val="18"/>
                      <w:szCs w:val="18"/>
                    </w:rPr>
                  </m:ctrlPr>
                </m:e>
              </m:d>
              <m:r>
                <m:rPr>
                  <m:sty m:val="p"/>
                </m:rPr>
                <w:rPr>
                  <w:rFonts w:hint="eastAsia" w:ascii="Cambria Math" w:hAnsi="Cambria Math" w:eastAsia="仿宋_GB2312" w:cs="仿宋_GB2312"/>
                  <w:sz w:val="18"/>
                  <w:szCs w:val="18"/>
                </w:rPr>
                <m:t>+利用往年贮存量</m:t>
              </m:r>
              <m:d>
                <m:dPr>
                  <m:begChr m:val="（"/>
                  <m:endChr m:val="）"/>
                  <m:ctrlPr>
                    <w:rPr>
                      <w:rFonts w:hint="eastAsia" w:ascii="Cambria Math" w:hAnsi="Cambria Math" w:eastAsia="仿宋_GB2312" w:cs="仿宋_GB2312"/>
                      <w:sz w:val="18"/>
                      <w:szCs w:val="18"/>
                    </w:rPr>
                  </m:ctrlPr>
                </m:dPr>
                <m:e>
                  <m:r>
                    <m:rPr>
                      <m:sty m:val="p"/>
                    </m:rPr>
                    <w:rPr>
                      <w:rFonts w:hint="eastAsia" w:ascii="Cambria Math" w:hAnsi="Cambria Math" w:eastAsia="仿宋_GB2312" w:cs="仿宋_GB2312"/>
                      <w:sz w:val="18"/>
                      <w:szCs w:val="18"/>
                    </w:rPr>
                    <m:t>吨</m:t>
                  </m:r>
                  <m:ctrlPr>
                    <w:rPr>
                      <w:rFonts w:hint="eastAsia" w:ascii="Cambria Math" w:hAnsi="Cambria Math" w:eastAsia="仿宋_GB2312" w:cs="仿宋_GB2312"/>
                      <w:sz w:val="18"/>
                      <w:szCs w:val="18"/>
                    </w:rPr>
                  </m:ctrlPr>
                </m:e>
              </m:d>
              <m:r>
                <m:rPr>
                  <m:sty m:val="p"/>
                </m:rPr>
                <w:rPr>
                  <w:rFonts w:hint="eastAsia" w:ascii="Cambria Math" w:hAnsi="Cambria Math" w:eastAsia="仿宋_GB2312" w:cs="仿宋_GB2312"/>
                  <w:sz w:val="18"/>
                  <w:szCs w:val="18"/>
                </w:rPr>
                <m:t>+处置往年贮存量（吨）</m:t>
              </m:r>
              <m:ctrlPr>
                <w:rPr>
                  <w:rFonts w:hint="eastAsia" w:ascii="Cambria Math" w:hAnsi="Cambria Math" w:eastAsia="仿宋_GB2312" w:cs="仿宋_GB2312"/>
                  <w:sz w:val="18"/>
                  <w:szCs w:val="18"/>
                </w:rPr>
              </m:ctrlPr>
            </m:den>
          </m:f>
          <m:r>
            <m:rPr>
              <m:sty m:val="p"/>
            </m:rPr>
            <w:rPr>
              <w:rFonts w:hint="eastAsia" w:ascii="Cambria Math" w:hAnsi="Cambria Math" w:eastAsia="仿宋_GB2312" w:cs="仿宋_GB2312"/>
              <w:sz w:val="18"/>
              <w:szCs w:val="18"/>
            </w:rPr>
            <m:t>×100%</m:t>
          </m:r>
        </m:oMath>
      </m:oMathPara>
    </w:p>
    <w:p>
      <w:pPr>
        <w:ind w:firstLine="602" w:firstLineChars="200"/>
        <w:rPr>
          <w:rFonts w:ascii="Times New Roman Regular" w:hAnsi="Times New Roman Regular" w:eastAsia="仿宋" w:cs="Times New Roman Regular"/>
          <w:sz w:val="28"/>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生态环境、卫生健康、综合行政执法、工业和信息化、交通运输、应急等部门。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5" w:name="_Toc1520584894_WPSOffice_Level1"/>
      <w:r>
        <w:rPr>
          <w:rFonts w:ascii="Times New Roman Regular" w:hAnsi="Times New Roman Regular" w:eastAsia="仿宋_GB2312" w:cs="Times New Roman Regular"/>
          <w:b/>
          <w:sz w:val="30"/>
          <w:szCs w:val="30"/>
          <w:lang w:val="zh-CN" w:bidi="en-US"/>
        </w:rPr>
        <w:t>建设用地土壤污染风险管控和修复名录制度</w:t>
      </w:r>
      <w:bookmarkEnd w:id="25"/>
    </w:p>
    <w:p>
      <w:pPr>
        <w:adjustRightInd w:val="0"/>
        <w:snapToGrid w:val="0"/>
        <w:spacing w:line="348" w:lineRule="auto"/>
        <w:ind w:firstLine="602" w:firstLineChars="200"/>
        <w:rPr>
          <w:rFonts w:ascii="Times New Roman Regular" w:hAnsi="Times New Roman Regular" w:eastAsia="仿宋" w:cs="Times New Roman Regular"/>
          <w:sz w:val="28"/>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指创建</w:t>
      </w:r>
      <w:r>
        <w:rPr>
          <w:rFonts w:hint="eastAsia" w:ascii="Times New Roman Regular" w:hAnsi="Times New Roman Regular" w:eastAsia="仿宋_GB2312" w:cs="Times New Roman Regular"/>
          <w:sz w:val="30"/>
          <w:szCs w:val="30"/>
          <w:lang w:val="zh-CN" w:bidi="en-US"/>
        </w:rPr>
        <w:t>地</w:t>
      </w:r>
      <w:r>
        <w:rPr>
          <w:rFonts w:ascii="Times New Roman Regular" w:hAnsi="Times New Roman Regular" w:eastAsia="仿宋_GB2312" w:cs="Times New Roman Regular"/>
          <w:sz w:val="30"/>
          <w:szCs w:val="30"/>
          <w:lang w:val="zh-CN" w:bidi="en-US"/>
        </w:rPr>
        <w:t>区根据《中华人民共和国土壤污染防治法》和《污染地块土壤环境管理办法（试行）》，建立建设用地土壤污染风险管控和修复名录制度，强化自然资源、生态环境等部门联合监管，对于污染地块的开发利用，严格准入管理。对从事过有色金属冶炼、石油加工、化工、焦化、电镀、制革等行业生产经营活动或从事过危险废物贮存、利用、处置活动的用地，组织建设和应用污染地块信息系统、建立本行政区域疑似污染地块名单，并书面通知土地使用权人启动土壤环境初步调查；对具有高风险的污染地块优先开展环境保护监督管理；对暂不开发利用的污染地块，划定管控区域并设立标识、发布公告，组织开展土壤、地表水、地下水、空气环境监测。</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自然资源、生态环境等部门。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6" w:name="_Toc1414914158_WPSOffice_Level1"/>
      <w:r>
        <w:rPr>
          <w:rFonts w:ascii="Times New Roman Regular" w:hAnsi="Times New Roman Regular" w:eastAsia="仿宋_GB2312" w:cs="Times New Roman Regular"/>
          <w:b/>
          <w:sz w:val="30"/>
          <w:szCs w:val="30"/>
          <w:lang w:val="zh-CN" w:bidi="en-US"/>
        </w:rPr>
        <w:t>突发生态环境事件应急管理机制</w:t>
      </w:r>
      <w:bookmarkEnd w:id="26"/>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指创建</w:t>
      </w:r>
      <w:r>
        <w:rPr>
          <w:rFonts w:hint="eastAsia" w:ascii="Times New Roman Regular" w:hAnsi="Times New Roman Regular" w:eastAsia="仿宋_GB2312" w:cs="Times New Roman Regular"/>
          <w:sz w:val="30"/>
          <w:szCs w:val="30"/>
          <w:lang w:val="zh-CN" w:bidi="en-US"/>
        </w:rPr>
        <w:t>地区</w:t>
      </w:r>
      <w:r>
        <w:rPr>
          <w:rFonts w:ascii="Times New Roman Regular" w:hAnsi="Times New Roman Regular" w:eastAsia="仿宋_GB2312" w:cs="Times New Roman Regular"/>
          <w:sz w:val="30"/>
          <w:szCs w:val="30"/>
          <w:lang w:val="zh-CN" w:bidi="en-US"/>
        </w:rPr>
        <w:t>建立突发生态环境事件应急管理机制，包括应急组织机构设立（人员</w:t>
      </w:r>
      <w:r>
        <w:rPr>
          <w:rFonts w:hint="eastAsia" w:ascii="Times New Roman Regular" w:hAnsi="Times New Roman Regular" w:eastAsia="仿宋_GB2312" w:cs="Times New Roman Regular"/>
          <w:sz w:val="30"/>
          <w:szCs w:val="30"/>
          <w:lang w:val="zh-CN" w:bidi="en-US"/>
        </w:rPr>
        <w:t>配</w:t>
      </w:r>
      <w:r>
        <w:rPr>
          <w:rFonts w:ascii="Times New Roman Regular" w:hAnsi="Times New Roman Regular" w:eastAsia="仿宋_GB2312" w:cs="Times New Roman Regular"/>
          <w:sz w:val="30"/>
          <w:szCs w:val="30"/>
          <w:lang w:val="zh-CN" w:bidi="en-US"/>
        </w:rPr>
        <w:t>置）、地方应急预案制定与修编、应急演练、环境风险隐患专项排查、企事业单位应急预案备案管理和突发环境事件应对等工作。</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生态环境、应急等部门。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7" w:name="_Toc1375830275_WPSOffice_Level1"/>
      <w:bookmarkStart w:id="28" w:name="_Hlk4617514"/>
      <w:r>
        <w:rPr>
          <w:rFonts w:ascii="Times New Roman Regular" w:hAnsi="Times New Roman Regular" w:eastAsia="仿宋_GB2312" w:cs="Times New Roman Regular"/>
          <w:b/>
          <w:sz w:val="30"/>
          <w:szCs w:val="30"/>
          <w:lang w:val="zh-CN" w:bidi="en-US"/>
        </w:rPr>
        <w:t>自然生态空间</w:t>
      </w:r>
      <w:bookmarkEnd w:id="27"/>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（1）生态保护红线</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在生态空间范围内具有特殊重要生态功能、必须强制性严格保护的区域，是保障和维护国家生态安全的底线和生命线，通常包括具有重要水源涵养、生物多样性维护、水土保持、防风固沙、海岸生态稳定等功能的生态功能重要区域，以及水土流失、土地沙化、石漠化、盐渍化等生态环境敏感脆弱区域。要求确保生态保护红线面积不减少，性质不改变，主导生态功能不降低。主导生态功能评价暂时参照《关于印发&lt;生态保护红线划定指南&gt;的通知》（环办生态〔2017〕48号）和《关于开展生态保护红线评估工作的函》（自然资办函〔2019〕</w:t>
      </w:r>
      <w:r>
        <w:rPr>
          <w:rFonts w:hint="eastAsia" w:ascii="Times New Roman Regular" w:hAnsi="Times New Roman Regular" w:eastAsia="仿宋_GB2312" w:cs="Times New Roman Regular"/>
          <w:sz w:val="30"/>
          <w:szCs w:val="30"/>
          <w:lang w:bidi="en-US"/>
        </w:rPr>
        <w:t>1</w:t>
      </w:r>
      <w:r>
        <w:rPr>
          <w:rFonts w:ascii="Times New Roman Regular" w:hAnsi="Times New Roman Regular" w:eastAsia="仿宋_GB2312" w:cs="Times New Roman Regular"/>
          <w:sz w:val="30"/>
          <w:szCs w:val="30"/>
          <w:lang w:val="zh-CN" w:bidi="en-US"/>
        </w:rPr>
        <w:t>125号）</w:t>
      </w:r>
      <w:r>
        <w:rPr>
          <w:rFonts w:hint="eastAsia" w:ascii="Times New Roman Regular" w:hAnsi="Times New Roman Regular" w:eastAsia="仿宋_GB2312" w:cs="Times New Roman Regular"/>
          <w:sz w:val="30"/>
          <w:szCs w:val="30"/>
          <w:lang w:val="zh-CN" w:bidi="en-US"/>
        </w:rPr>
        <w:t>等文件</w:t>
      </w:r>
      <w:r>
        <w:rPr>
          <w:rFonts w:ascii="Times New Roman Regular" w:hAnsi="Times New Roman Regular" w:eastAsia="仿宋_GB2312" w:cs="Times New Roman Regular"/>
          <w:sz w:val="30"/>
          <w:szCs w:val="30"/>
          <w:lang w:val="zh-CN" w:bidi="en-US"/>
        </w:rPr>
        <w:t>。</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自然资源、生态环境等部门。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（2）自然保护地</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val="zh-CN" w:bidi="en-US"/>
        </w:rPr>
        <w:t>按照《关于建立以国家公园为主体的自然保护地体系的指导意见》</w:t>
      </w:r>
      <w:r>
        <w:rPr>
          <w:rFonts w:ascii="Times New Roman Regular" w:hAnsi="Times New Roman Regular" w:eastAsia="仿宋_GB2312" w:cs="Times New Roman Regular"/>
          <w:sz w:val="30"/>
          <w:szCs w:val="30"/>
          <w:lang w:val="zh-CN" w:bidi="en-US"/>
        </w:rPr>
        <w:t>由政府依法划定或确认，对重要的自然生态系统、自然遗迹、自然景观及其所承载的自然资源、生态功能和文化价值实施长期保护的陆域或海域，包括国家公园、自然保护区以及森林公园、地质公园、海洋公园、湿地公园等各类自然公园。</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林草、自然资源、生态环境等部门。</w:t>
      </w:r>
      <w:bookmarkEnd w:id="28"/>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29" w:name="_Toc1623004676_WPSOffice_Level1"/>
      <w:r>
        <w:rPr>
          <w:rFonts w:ascii="Times New Roman Regular" w:hAnsi="Times New Roman Regular" w:eastAsia="仿宋_GB2312" w:cs="Times New Roman Regular"/>
          <w:b/>
          <w:sz w:val="30"/>
          <w:szCs w:val="30"/>
          <w:lang w:val="zh-CN" w:bidi="en-US"/>
        </w:rPr>
        <w:t>河湖岸线保护</w:t>
      </w:r>
      <w:bookmarkEnd w:id="29"/>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河湖岸线指河流两侧、湖泊周边一定范围内水陆相交的带状区域。岸线保护区、岸线保留区、岸线控制利用区及岸线开发利用区划定参照水利部《河湖岸线保护与利用规划编制指南（试行）》（办河湖函〔2019〕394号）。</w:t>
      </w:r>
      <w:r>
        <w:rPr>
          <w:rFonts w:hint="eastAsia" w:ascii="Times New Roman Regular" w:hAnsi="Times New Roman Regular" w:eastAsia="仿宋_GB2312" w:cs="Times New Roman Regular"/>
          <w:sz w:val="30"/>
          <w:szCs w:val="30"/>
          <w:lang w:bidi="en-US"/>
        </w:rPr>
        <w:t>河湖岸线保护率</w:t>
      </w:r>
      <w:r>
        <w:rPr>
          <w:rFonts w:ascii="Times New Roman Regular" w:hAnsi="Times New Roman Regular" w:eastAsia="仿宋_GB2312" w:cs="Times New Roman Regular"/>
          <w:sz w:val="30"/>
          <w:szCs w:val="30"/>
          <w:lang w:val="zh-CN" w:bidi="en-US"/>
        </w:rPr>
        <w:t>指行政区域内划入岸线保护区、岸线保留区的岸段长度占河湖岸线总长度的比例。</w:t>
      </w:r>
    </w:p>
    <w:p>
      <w:pPr>
        <w:adjustRightInd w:val="0"/>
        <w:snapToGrid w:val="0"/>
        <w:spacing w:line="348" w:lineRule="auto"/>
        <w:rPr>
          <w:rFonts w:ascii="仿宋_GB2312" w:hAnsi="仿宋_GB2312" w:eastAsia="仿宋_GB2312" w:cs="仿宋_GB2312"/>
          <w:sz w:val="24"/>
          <w:szCs w:val="24"/>
        </w:rPr>
      </w:pPr>
      <m:oMathPara>
        <m:oMath>
          <m:r>
            <m:rPr>
              <m:sty m:val="p"/>
            </m:rPr>
            <w:rPr>
              <w:rFonts w:hint="eastAsia" w:ascii="Cambria Math" w:hAnsi="Cambria Math" w:eastAsia="仿宋_GB2312" w:cs="仿宋_GB2312"/>
              <w:sz w:val="24"/>
              <w:szCs w:val="24"/>
            </w:rPr>
            <m:t>河湖岸线保护率=</m:t>
          </m:r>
          <m:f>
            <m:fPr>
              <m:ctrlPr>
                <w:rPr>
                  <w:rFonts w:hint="eastAsia" w:ascii="Cambria Math" w:hAnsi="Cambria Math" w:eastAsia="仿宋_GB2312" w:cs="仿宋_GB2312"/>
                  <w:sz w:val="24"/>
                  <w:szCs w:val="24"/>
                </w:rPr>
              </m:ctrlPr>
            </m:fPr>
            <m:num>
              <m:r>
                <m:rPr>
                  <m:sty m:val="p"/>
                </m:rPr>
                <w:rPr>
                  <w:rFonts w:hint="eastAsia" w:ascii="Cambria Math" w:hAnsi="Cambria Math" w:eastAsia="仿宋_GB2312" w:cs="仿宋_GB2312"/>
                  <w:sz w:val="24"/>
                  <w:szCs w:val="24"/>
                </w:rPr>
                <m:t>列入岸线保护区、岸线保留区的岸线长度（公里）</m:t>
              </m:r>
              <m:ctrlPr>
                <w:rPr>
                  <w:rFonts w:hint="eastAsia" w:ascii="Cambria Math" w:hAnsi="Cambria Math" w:eastAsia="仿宋_GB2312" w:cs="仿宋_GB2312"/>
                  <w:sz w:val="24"/>
                  <w:szCs w:val="24"/>
                </w:rPr>
              </m:ctrlPr>
            </m:num>
            <m:den>
              <m:r>
                <m:rPr>
                  <m:sty m:val="p"/>
                </m:rPr>
                <w:rPr>
                  <w:rFonts w:hint="eastAsia" w:ascii="Cambria Math" w:hAnsi="Cambria Math" w:eastAsia="仿宋_GB2312" w:cs="仿宋_GB2312"/>
                  <w:sz w:val="24"/>
                  <w:szCs w:val="24"/>
                </w:rPr>
                <m:t>河湖岸线总长度（公里）</m:t>
              </m:r>
              <m:ctrlPr>
                <w:rPr>
                  <w:rFonts w:hint="eastAsia" w:ascii="Cambria Math" w:hAnsi="Cambria Math" w:eastAsia="仿宋_GB2312" w:cs="仿宋_GB2312"/>
                  <w:sz w:val="24"/>
                  <w:szCs w:val="24"/>
                </w:rPr>
              </m:ctrlPr>
            </m:den>
          </m:f>
          <m:r>
            <m:rPr>
              <m:sty m:val="p"/>
            </m:rPr>
            <w:rPr>
              <w:rFonts w:hint="eastAsia" w:ascii="Cambria Math" w:hAnsi="Cambria Math" w:eastAsia="仿宋_GB2312" w:cs="仿宋_GB2312"/>
              <w:sz w:val="24"/>
              <w:szCs w:val="24"/>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 xml:space="preserve">水利、自然资源等部门。 </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0" w:name="_Toc502305338_WPSOffice_Level1"/>
      <w:r>
        <w:rPr>
          <w:rFonts w:ascii="Times New Roman Regular" w:hAnsi="Times New Roman Regular" w:eastAsia="仿宋_GB2312" w:cs="Times New Roman Regular"/>
          <w:b/>
          <w:sz w:val="30"/>
          <w:szCs w:val="30"/>
          <w:lang w:val="zh-CN" w:bidi="en-US"/>
        </w:rPr>
        <w:t>单位地区生产总值能耗</w:t>
      </w:r>
      <w:r>
        <w:rPr>
          <w:rFonts w:hint="eastAsia" w:ascii="Times New Roman Regular" w:hAnsi="Times New Roman Regular" w:eastAsia="仿宋_GB2312" w:cs="Times New Roman Regular"/>
          <w:b/>
          <w:sz w:val="30"/>
          <w:szCs w:val="30"/>
          <w:lang w:val="zh-CN" w:bidi="en-US"/>
        </w:rPr>
        <w:t>下降率</w:t>
      </w:r>
      <w:bookmarkEnd w:id="30"/>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val="zh-CN" w:bidi="en-US"/>
        </w:rPr>
        <w:t>本年度</w:t>
      </w:r>
      <w:r>
        <w:rPr>
          <w:rFonts w:ascii="Times New Roman Regular" w:hAnsi="Times New Roman Regular" w:eastAsia="仿宋_GB2312" w:cs="Times New Roman Regular"/>
          <w:sz w:val="30"/>
          <w:szCs w:val="30"/>
          <w:lang w:val="zh-CN" w:bidi="en-US"/>
        </w:rPr>
        <w:t>单位地区生产总值的能源消耗量</w:t>
      </w:r>
      <w:r>
        <w:rPr>
          <w:rFonts w:hint="eastAsia" w:ascii="Times New Roman Regular" w:hAnsi="Times New Roman Regular" w:eastAsia="仿宋_GB2312" w:cs="Times New Roman Regular"/>
          <w:sz w:val="30"/>
          <w:szCs w:val="30"/>
          <w:lang w:val="zh-CN" w:bidi="en-US"/>
        </w:rPr>
        <w:t>与上年相比下降幅度</w:t>
      </w:r>
      <w:r>
        <w:rPr>
          <w:rFonts w:ascii="Times New Roman Regular" w:hAnsi="Times New Roman Regular" w:eastAsia="仿宋_GB2312" w:cs="Times New Roman Regular"/>
          <w:sz w:val="30"/>
          <w:szCs w:val="30"/>
          <w:lang w:val="zh-CN" w:bidi="en-US"/>
        </w:rPr>
        <w:t>，是反映</w:t>
      </w:r>
      <w:r>
        <w:rPr>
          <w:rFonts w:hint="eastAsia" w:ascii="Times New Roman Regular" w:hAnsi="Times New Roman Regular" w:eastAsia="仿宋_GB2312" w:cs="Times New Roman Regular"/>
          <w:sz w:val="30"/>
          <w:szCs w:val="30"/>
          <w:lang w:val="zh-CN" w:bidi="en-US"/>
        </w:rPr>
        <w:t>在社会生产生活中全方位促进</w:t>
      </w:r>
      <w:r>
        <w:rPr>
          <w:rFonts w:ascii="Times New Roman Regular" w:hAnsi="Times New Roman Regular" w:eastAsia="仿宋_GB2312" w:cs="Times New Roman Regular"/>
          <w:sz w:val="30"/>
          <w:szCs w:val="30"/>
          <w:lang w:val="zh-CN" w:bidi="en-US"/>
        </w:rPr>
        <w:t>能源</w:t>
      </w:r>
      <w:r>
        <w:rPr>
          <w:rFonts w:hint="eastAsia" w:ascii="Times New Roman Regular" w:hAnsi="Times New Roman Regular" w:eastAsia="仿宋_GB2312" w:cs="Times New Roman Regular"/>
          <w:sz w:val="30"/>
          <w:szCs w:val="30"/>
          <w:lang w:val="zh-CN" w:bidi="en-US"/>
        </w:rPr>
        <w:t>集约利用的重要</w:t>
      </w:r>
      <w:r>
        <w:rPr>
          <w:rFonts w:ascii="Times New Roman Regular" w:hAnsi="Times New Roman Regular" w:eastAsia="仿宋_GB2312" w:cs="Times New Roman Regular"/>
          <w:sz w:val="30"/>
          <w:szCs w:val="30"/>
          <w:lang w:val="zh-CN" w:bidi="en-US"/>
        </w:rPr>
        <w:t>指标。</w:t>
      </w:r>
    </w:p>
    <w:p>
      <w:pPr>
        <w:rPr>
          <w:rFonts w:ascii="仿宋_GB2312" w:hAnsi="仿宋_GB2312" w:eastAsia="仿宋_GB2312" w:cs="仿宋_GB2312"/>
          <w:sz w:val="24"/>
          <w:szCs w:val="21"/>
        </w:rPr>
      </w:pPr>
      <m:oMathPara>
        <m:oMath>
          <m:r>
            <m:rPr>
              <m:sty m:val="p"/>
            </m:rPr>
            <w:rPr>
              <w:rFonts w:hint="eastAsia" w:ascii="Cambria Math" w:hAnsi="Cambria Math" w:eastAsia="仿宋_GB2312" w:cs="仿宋_GB2312"/>
              <w:sz w:val="24"/>
              <w:szCs w:val="21"/>
            </w:rPr>
            <m:t>单位地区生产总值能耗=</m:t>
          </m:r>
          <m:f>
            <m:fPr>
              <m:ctrlPr>
                <w:rPr>
                  <w:rFonts w:hint="eastAsia" w:ascii="Cambria Math" w:hAnsi="Cambria Math" w:eastAsia="仿宋_GB2312" w:cs="仿宋_GB2312"/>
                  <w:sz w:val="24"/>
                  <w:szCs w:val="21"/>
                </w:rPr>
              </m:ctrlPr>
            </m:fPr>
            <m:num>
              <m:r>
                <m:rPr>
                  <m:sty m:val="p"/>
                </m:rPr>
                <w:rPr>
                  <w:rFonts w:hint="eastAsia" w:ascii="Cambria Math" w:hAnsi="Cambria Math" w:eastAsia="仿宋_GB2312" w:cs="仿宋_GB2312"/>
                  <w:sz w:val="24"/>
                  <w:szCs w:val="21"/>
                </w:rPr>
                <m:t>能源消耗总量（吨标准煤）</m:t>
              </m:r>
              <m:ctrlPr>
                <w:rPr>
                  <w:rFonts w:hint="eastAsia" w:ascii="Cambria Math" w:hAnsi="Cambria Math" w:eastAsia="仿宋_GB2312" w:cs="仿宋_GB2312"/>
                  <w:sz w:val="24"/>
                  <w:szCs w:val="21"/>
                </w:rPr>
              </m:ctrlPr>
            </m:num>
            <m:den>
              <m:r>
                <m:rPr>
                  <m:sty m:val="p"/>
                </m:rPr>
                <w:rPr>
                  <w:rFonts w:hint="eastAsia" w:ascii="Cambria Math" w:hAnsi="Cambria Math" w:eastAsia="仿宋_GB2312" w:cs="仿宋_GB2312"/>
                  <w:sz w:val="24"/>
                  <w:szCs w:val="21"/>
                </w:rPr>
                <m:t>地区生产总值（万元）</m:t>
              </m:r>
              <m:ctrlPr>
                <w:rPr>
                  <w:rFonts w:hint="eastAsia" w:ascii="Cambria Math" w:hAnsi="Cambria Math" w:eastAsia="仿宋_GB2312" w:cs="仿宋_GB2312"/>
                  <w:sz w:val="24"/>
                  <w:szCs w:val="21"/>
                </w:rPr>
              </m:ctrlPr>
            </m:den>
          </m:f>
        </m:oMath>
      </m:oMathPara>
    </w:p>
    <w:p>
      <w:pPr>
        <w:rPr>
          <w:rFonts w:ascii="仿宋_GB2312" w:hAnsi="仿宋_GB2312" w:eastAsia="仿宋_GB2312" w:cs="仿宋_GB2312"/>
          <w:sz w:val="24"/>
          <w:szCs w:val="24"/>
        </w:rPr>
      </w:pPr>
      <m:oMathPara>
        <m:oMath>
          <m:r>
            <m:rPr>
              <m:sty m:val="p"/>
            </m:rPr>
            <w:rPr>
              <w:rFonts w:hint="eastAsia" w:ascii="Cambria Math" w:hAnsi="Cambria Math" w:eastAsia="仿宋_GB2312" w:cs="仿宋_GB2312"/>
              <w:sz w:val="24"/>
              <w:szCs w:val="24"/>
            </w:rPr>
            <m:t>单位地区生产总值能耗下降率=</m:t>
          </m:r>
          <m:d>
            <m:dPr>
              <m:begChr m:val="（"/>
              <m:endChr m:val="）"/>
              <m:ctrlPr>
                <w:rPr>
                  <w:rFonts w:hint="eastAsia" w:ascii="Cambria Math" w:hAnsi="Cambria Math" w:eastAsia="仿宋_GB2312" w:cs="仿宋_GB2312"/>
                  <w:sz w:val="24"/>
                  <w:szCs w:val="24"/>
                </w:rPr>
              </m:ctrlPr>
            </m:dPr>
            <m:e>
              <m:r>
                <m:rPr>
                  <m:sty m:val="p"/>
                </m:rPr>
                <w:rPr>
                  <w:rFonts w:ascii="Cambria Math" w:hAnsi="Cambria Math" w:eastAsia="仿宋_GB2312" w:cs="仿宋_GB2312"/>
                  <w:sz w:val="24"/>
                  <w:szCs w:val="24"/>
                </w:rPr>
                <m:t>1−</m:t>
              </m:r>
              <m:f>
                <m:fPr>
                  <m:ctrlPr>
                    <w:rPr>
                      <w:rFonts w:hint="eastAsia" w:ascii="Cambria Math" w:hAnsi="Cambria Math" w:eastAsia="仿宋_GB2312" w:cs="仿宋_GB2312"/>
                      <w:sz w:val="24"/>
                      <w:szCs w:val="24"/>
                    </w:rPr>
                  </m:ctrlPr>
                </m:fPr>
                <m:num>
                  <m:r>
                    <m:rPr>
                      <m:sty m:val="p"/>
                    </m:rPr>
                    <w:rPr>
                      <w:rFonts w:hint="eastAsia" w:ascii="Cambria Math" w:hAnsi="Cambria Math" w:eastAsia="仿宋_GB2312" w:cs="仿宋_GB2312"/>
                      <w:sz w:val="24"/>
                      <w:szCs w:val="24"/>
                    </w:rPr>
                    <m:t>本年度单位地区生产总值能耗</m:t>
                  </m:r>
                  <m:ctrlPr>
                    <w:rPr>
                      <w:rFonts w:hint="eastAsia" w:ascii="Cambria Math" w:hAnsi="Cambria Math" w:eastAsia="仿宋_GB2312" w:cs="仿宋_GB2312"/>
                      <w:sz w:val="24"/>
                      <w:szCs w:val="24"/>
                    </w:rPr>
                  </m:ctrlPr>
                </m:num>
                <m:den>
                  <m:r>
                    <m:rPr>
                      <m:sty m:val="p"/>
                    </m:rPr>
                    <w:rPr>
                      <w:rFonts w:hint="eastAsia" w:ascii="Cambria Math" w:hAnsi="Cambria Math" w:eastAsia="仿宋_GB2312" w:cs="仿宋_GB2312"/>
                      <w:sz w:val="24"/>
                      <w:szCs w:val="24"/>
                    </w:rPr>
                    <m:t>上年度单位地区生产总值能耗</m:t>
                  </m:r>
                  <m:ctrlPr>
                    <w:rPr>
                      <w:rFonts w:hint="eastAsia" w:ascii="Cambria Math" w:hAnsi="Cambria Math" w:eastAsia="仿宋_GB2312" w:cs="仿宋_GB2312"/>
                      <w:sz w:val="24"/>
                      <w:szCs w:val="24"/>
                    </w:rPr>
                  </m:ctrlPr>
                </m:den>
              </m:f>
              <m:ctrlPr>
                <w:rPr>
                  <w:rFonts w:hint="eastAsia" w:ascii="Cambria Math" w:hAnsi="Cambria Math" w:eastAsia="仿宋_GB2312" w:cs="仿宋_GB2312"/>
                  <w:sz w:val="24"/>
                  <w:szCs w:val="24"/>
                </w:rPr>
              </m:ctrlPr>
            </m:e>
          </m:d>
          <m:r>
            <m:rPr>
              <m:sty m:val="p"/>
            </m:rPr>
            <w:rPr>
              <w:rFonts w:hint="eastAsia" w:ascii="Cambria Math" w:hAnsi="Cambria Math" w:eastAsia="仿宋_GB2312" w:cs="仿宋_GB2312"/>
              <w:sz w:val="24"/>
              <w:szCs w:val="24"/>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发展改革</w:t>
      </w:r>
      <w:r>
        <w:rPr>
          <w:rFonts w:ascii="Times New Roman Regular" w:hAnsi="Times New Roman Regular" w:eastAsia="仿宋_GB2312" w:cs="Times New Roman Regular"/>
          <w:sz w:val="30"/>
          <w:szCs w:val="30"/>
          <w:lang w:bidi="en-US"/>
        </w:rPr>
        <w:t>、工业和信息化、统计等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1" w:name="_Toc487599409_WPSOffice_Level1"/>
      <w:r>
        <w:rPr>
          <w:rFonts w:ascii="Times New Roman Regular" w:hAnsi="Times New Roman Regular" w:eastAsia="仿宋_GB2312" w:cs="Times New Roman Regular"/>
          <w:b/>
          <w:sz w:val="30"/>
          <w:szCs w:val="30"/>
          <w:lang w:val="zh-CN" w:bidi="en-US"/>
        </w:rPr>
        <w:t>单位地区生产总值用水量</w:t>
      </w:r>
      <w:r>
        <w:rPr>
          <w:rFonts w:hint="eastAsia" w:ascii="Times New Roman Regular" w:hAnsi="Times New Roman Regular" w:eastAsia="仿宋_GB2312" w:cs="Times New Roman Regular"/>
          <w:b/>
          <w:sz w:val="30"/>
          <w:szCs w:val="30"/>
          <w:lang w:val="zh-CN" w:bidi="en-US"/>
        </w:rPr>
        <w:t>下降率</w:t>
      </w:r>
      <w:bookmarkEnd w:id="31"/>
    </w:p>
    <w:p>
      <w:pPr>
        <w:adjustRightInd w:val="0"/>
        <w:snapToGrid w:val="0"/>
        <w:spacing w:line="348" w:lineRule="auto"/>
        <w:ind w:firstLine="602" w:firstLineChars="200"/>
        <w:rPr>
          <w:rFonts w:ascii="Times New Roman" w:hAnsi="Times New Roman" w:eastAsia="仿宋"/>
          <w:sz w:val="28"/>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val="zh-CN" w:bidi="en-US"/>
        </w:rPr>
        <w:t>本年度</w:t>
      </w:r>
      <w:r>
        <w:rPr>
          <w:rFonts w:ascii="Times New Roman Regular" w:hAnsi="Times New Roman Regular" w:eastAsia="仿宋_GB2312" w:cs="Times New Roman Regular"/>
          <w:sz w:val="30"/>
          <w:szCs w:val="30"/>
          <w:lang w:val="zh-CN" w:bidi="en-US"/>
        </w:rPr>
        <w:t>单位地区生产总值</w:t>
      </w:r>
      <w:r>
        <w:rPr>
          <w:rFonts w:hint="eastAsia" w:ascii="Times New Roman Regular" w:hAnsi="Times New Roman Regular" w:eastAsia="仿宋_GB2312" w:cs="Times New Roman Regular"/>
          <w:sz w:val="30"/>
          <w:szCs w:val="30"/>
          <w:lang w:val="zh-CN" w:bidi="en-US"/>
        </w:rPr>
        <w:t>所使用的的水资源量与上年相比下降幅度</w:t>
      </w:r>
      <w:r>
        <w:rPr>
          <w:rFonts w:ascii="Times New Roman Regular" w:hAnsi="Times New Roman Regular" w:eastAsia="仿宋_GB2312" w:cs="Times New Roman Regular"/>
          <w:sz w:val="30"/>
          <w:szCs w:val="30"/>
          <w:lang w:val="zh-CN" w:bidi="en-US"/>
        </w:rPr>
        <w:t>，</w:t>
      </w:r>
      <w:r>
        <w:rPr>
          <w:rFonts w:hint="eastAsia" w:ascii="Times New Roman Regular" w:hAnsi="Times New Roman Regular" w:eastAsia="仿宋_GB2312" w:cs="Times New Roman Regular"/>
          <w:sz w:val="30"/>
          <w:szCs w:val="30"/>
          <w:lang w:val="zh-CN" w:bidi="en-US"/>
        </w:rPr>
        <w:t>是反映在社会生产生活中全方位促进节水降耗的重要指标。</w:t>
      </w:r>
    </w:p>
    <w:p>
      <w:pPr>
        <w:rPr>
          <w:rFonts w:ascii="仿宋_GB2312" w:hAnsi="仿宋_GB2312" w:eastAsia="仿宋_GB2312" w:cs="仿宋_GB2312"/>
          <w:sz w:val="24"/>
          <w:szCs w:val="21"/>
        </w:rPr>
      </w:pPr>
      <m:oMathPara>
        <m:oMath>
          <m:r>
            <m:rPr>
              <m:sty m:val="p"/>
            </m:rPr>
            <w:rPr>
              <w:rFonts w:hint="eastAsia" w:ascii="Cambria Math" w:hAnsi="Cambria Math" w:eastAsia="仿宋_GB2312" w:cs="仿宋_GB2312"/>
              <w:sz w:val="24"/>
              <w:szCs w:val="21"/>
            </w:rPr>
            <m:t>单位地区生产总值用水量=</m:t>
          </m:r>
          <m:f>
            <m:fPr>
              <m:ctrlPr>
                <w:rPr>
                  <w:rFonts w:hint="eastAsia" w:ascii="Cambria Math" w:hAnsi="Cambria Math" w:eastAsia="仿宋_GB2312" w:cs="仿宋_GB2312"/>
                  <w:sz w:val="24"/>
                  <w:szCs w:val="21"/>
                </w:rPr>
              </m:ctrlPr>
            </m:fPr>
            <m:num>
              <m:r>
                <m:rPr>
                  <m:sty m:val="p"/>
                </m:rPr>
                <w:rPr>
                  <w:rFonts w:hint="eastAsia" w:ascii="Cambria Math" w:hAnsi="Cambria Math" w:eastAsia="仿宋_GB2312" w:cs="仿宋_GB2312"/>
                  <w:sz w:val="24"/>
                  <w:szCs w:val="21"/>
                </w:rPr>
                <m:t>用水总量（立方米）</m:t>
              </m:r>
              <m:ctrlPr>
                <w:rPr>
                  <w:rFonts w:hint="eastAsia" w:ascii="Cambria Math" w:hAnsi="Cambria Math" w:eastAsia="仿宋_GB2312" w:cs="仿宋_GB2312"/>
                  <w:sz w:val="24"/>
                  <w:szCs w:val="21"/>
                </w:rPr>
              </m:ctrlPr>
            </m:num>
            <m:den>
              <m:r>
                <m:rPr>
                  <m:sty m:val="p"/>
                </m:rPr>
                <w:rPr>
                  <w:rFonts w:hint="eastAsia" w:ascii="Cambria Math" w:hAnsi="Cambria Math" w:eastAsia="仿宋_GB2312" w:cs="仿宋_GB2312"/>
                  <w:sz w:val="24"/>
                  <w:szCs w:val="21"/>
                </w:rPr>
                <m:t>地区生产总值（万元）</m:t>
              </m:r>
              <m:ctrlPr>
                <w:rPr>
                  <w:rFonts w:hint="eastAsia" w:ascii="Cambria Math" w:hAnsi="Cambria Math" w:eastAsia="仿宋_GB2312" w:cs="仿宋_GB2312"/>
                  <w:sz w:val="24"/>
                  <w:szCs w:val="21"/>
                </w:rPr>
              </m:ctrlPr>
            </m:den>
          </m:f>
        </m:oMath>
      </m:oMathPara>
    </w:p>
    <w:p>
      <w:pPr>
        <w:rPr>
          <w:rFonts w:hint="eastAsia" w:ascii="Cambria Math" w:hAnsi="Cambria Math" w:eastAsia="仿宋_GB2312" w:cs="仿宋_GB2312"/>
          <w:sz w:val="23"/>
          <w:szCs w:val="23"/>
        </w:rPr>
      </w:pPr>
      <m:oMathPara>
        <m:oMath>
          <m:r>
            <m:rPr>
              <m:sty m:val="p"/>
            </m:rPr>
            <w:rPr>
              <w:rFonts w:hint="eastAsia" w:ascii="Cambria Math" w:hAnsi="Cambria Math" w:eastAsia="仿宋_GB2312" w:cs="仿宋_GB2312"/>
              <w:sz w:val="23"/>
              <w:szCs w:val="23"/>
            </w:rPr>
            <m:t>单位地区生产总值用水量下降率=</m:t>
          </m:r>
          <m:d>
            <m:dPr>
              <m:begChr m:val="（"/>
              <m:endChr m:val="）"/>
              <m:ctrlPr>
                <w:rPr>
                  <w:rFonts w:hint="eastAsia" w:ascii="Cambria Math" w:hAnsi="Cambria Math" w:eastAsia="仿宋_GB2312" w:cs="仿宋_GB2312"/>
                  <w:sz w:val="23"/>
                  <w:szCs w:val="23"/>
                </w:rPr>
              </m:ctrlPr>
            </m:dPr>
            <m:e>
              <m:r>
                <m:rPr>
                  <m:sty m:val="p"/>
                </m:rPr>
                <w:rPr>
                  <w:rFonts w:hint="eastAsia" w:ascii="Cambria Math" w:hAnsi="Cambria Math" w:eastAsia="仿宋_GB2312" w:cs="仿宋_GB2312"/>
                  <w:sz w:val="23"/>
                  <w:szCs w:val="23"/>
                </w:rPr>
                <m:t>1−</m:t>
              </m:r>
              <m:f>
                <m:fPr>
                  <m:ctrlPr>
                    <w:rPr>
                      <w:rFonts w:hint="eastAsia" w:ascii="Cambria Math" w:hAnsi="Cambria Math" w:eastAsia="仿宋_GB2312" w:cs="仿宋_GB2312"/>
                      <w:sz w:val="23"/>
                      <w:szCs w:val="23"/>
                    </w:rPr>
                  </m:ctrlPr>
                </m:fPr>
                <m:num>
                  <m:r>
                    <m:rPr>
                      <m:sty m:val="p"/>
                    </m:rPr>
                    <w:rPr>
                      <w:rFonts w:hint="eastAsia" w:ascii="Cambria Math" w:hAnsi="Cambria Math" w:eastAsia="仿宋_GB2312" w:cs="仿宋_GB2312"/>
                      <w:sz w:val="23"/>
                      <w:szCs w:val="23"/>
                    </w:rPr>
                    <m:t>本年度单位地区生产总值用水量</m:t>
                  </m:r>
                  <m:ctrlPr>
                    <w:rPr>
                      <w:rFonts w:hint="eastAsia" w:ascii="Cambria Math" w:hAnsi="Cambria Math" w:eastAsia="仿宋_GB2312" w:cs="仿宋_GB2312"/>
                      <w:sz w:val="23"/>
                      <w:szCs w:val="23"/>
                    </w:rPr>
                  </m:ctrlPr>
                </m:num>
                <m:den>
                  <m:r>
                    <m:rPr>
                      <m:sty m:val="p"/>
                    </m:rPr>
                    <w:rPr>
                      <w:rFonts w:hint="eastAsia" w:ascii="Cambria Math" w:hAnsi="Cambria Math" w:eastAsia="仿宋_GB2312" w:cs="仿宋_GB2312"/>
                      <w:sz w:val="23"/>
                      <w:szCs w:val="23"/>
                    </w:rPr>
                    <m:t>上年度单位地区生产总值用水量</m:t>
                  </m:r>
                  <m:ctrlPr>
                    <w:rPr>
                      <w:rFonts w:hint="eastAsia" w:ascii="Cambria Math" w:hAnsi="Cambria Math" w:eastAsia="仿宋_GB2312" w:cs="仿宋_GB2312"/>
                      <w:sz w:val="23"/>
                      <w:szCs w:val="23"/>
                    </w:rPr>
                  </m:ctrlPr>
                </m:den>
              </m:f>
              <m:ctrlPr>
                <w:rPr>
                  <w:rFonts w:hint="eastAsia" w:ascii="Cambria Math" w:hAnsi="Cambria Math" w:eastAsia="仿宋_GB2312" w:cs="仿宋_GB2312"/>
                  <w:sz w:val="23"/>
                  <w:szCs w:val="23"/>
                </w:rPr>
              </m:ctrlPr>
            </m:e>
          </m:d>
          <m:r>
            <m:rPr>
              <m:sty m:val="p"/>
            </m:rPr>
            <w:rPr>
              <w:rFonts w:hint="eastAsia" w:ascii="Cambria Math" w:hAnsi="Cambria Math" w:eastAsia="仿宋_GB2312" w:cs="仿宋_GB2312"/>
              <w:sz w:val="23"/>
              <w:szCs w:val="23"/>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水利</w:t>
      </w:r>
      <w:r>
        <w:rPr>
          <w:rFonts w:hint="eastAsia" w:ascii="Times New Roman Regular" w:hAnsi="Times New Roman Regular" w:eastAsia="仿宋_GB2312" w:cs="Times New Roman Regular"/>
          <w:sz w:val="30"/>
          <w:szCs w:val="30"/>
          <w:lang w:val="zh-CN" w:bidi="en-US"/>
        </w:rPr>
        <w:t>、</w:t>
      </w:r>
      <w:r>
        <w:rPr>
          <w:rFonts w:ascii="Times New Roman Regular" w:hAnsi="Times New Roman Regular" w:eastAsia="仿宋_GB2312" w:cs="Times New Roman Regular"/>
          <w:sz w:val="30"/>
          <w:szCs w:val="30"/>
          <w:lang w:bidi="en-US"/>
        </w:rPr>
        <w:t>工业和信息化</w:t>
      </w:r>
      <w:r>
        <w:rPr>
          <w:rFonts w:hint="eastAsia" w:ascii="Times New Roman Regular" w:hAnsi="Times New Roman Regular" w:eastAsia="仿宋_GB2312" w:cs="Times New Roman Regular"/>
          <w:sz w:val="30"/>
          <w:szCs w:val="30"/>
          <w:lang w:bidi="en-US"/>
        </w:rPr>
        <w:t>、</w:t>
      </w:r>
      <w:r>
        <w:rPr>
          <w:rFonts w:ascii="Times New Roman Regular" w:hAnsi="Times New Roman Regular" w:eastAsia="仿宋_GB2312" w:cs="Times New Roman Regular"/>
          <w:sz w:val="30"/>
          <w:szCs w:val="30"/>
          <w:lang w:bidi="en-US"/>
        </w:rPr>
        <w:t>统计等部门</w:t>
      </w:r>
      <w:r>
        <w:rPr>
          <w:rFonts w:ascii="Times New Roman Regular" w:hAnsi="Times New Roman Regular" w:eastAsia="仿宋_GB2312" w:cs="Times New Roman Regular"/>
          <w:sz w:val="30"/>
          <w:szCs w:val="30"/>
          <w:lang w:val="zh-CN" w:bidi="en-US"/>
        </w:rPr>
        <w:t>。</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2" w:name="_Toc285670111_WPSOffice_Level1"/>
      <w:r>
        <w:rPr>
          <w:rFonts w:ascii="Times New Roman Regular" w:hAnsi="Times New Roman Regular" w:eastAsia="仿宋_GB2312" w:cs="Times New Roman Regular"/>
          <w:b/>
          <w:sz w:val="30"/>
          <w:szCs w:val="30"/>
          <w:lang w:val="zh-CN" w:bidi="en-US"/>
        </w:rPr>
        <w:t>单位</w:t>
      </w:r>
      <w:r>
        <w:rPr>
          <w:rFonts w:hint="eastAsia" w:ascii="Times New Roman Regular" w:hAnsi="Times New Roman Regular" w:eastAsia="仿宋_GB2312" w:cs="Times New Roman Regular"/>
          <w:b/>
          <w:sz w:val="30"/>
          <w:szCs w:val="30"/>
          <w:lang w:bidi="en-US"/>
        </w:rPr>
        <w:t>地区</w:t>
      </w:r>
      <w:r>
        <w:rPr>
          <w:rFonts w:ascii="Times New Roman Regular" w:hAnsi="Times New Roman Regular" w:eastAsia="仿宋_GB2312" w:cs="Times New Roman Regular"/>
          <w:b/>
          <w:sz w:val="30"/>
          <w:szCs w:val="30"/>
          <w:lang w:val="zh-CN" w:bidi="en-US"/>
        </w:rPr>
        <w:t>生产总值建设用地使用面积下降</w:t>
      </w:r>
      <w:r>
        <w:rPr>
          <w:rFonts w:hint="eastAsia" w:ascii="Times New Roman Regular" w:hAnsi="Times New Roman Regular" w:eastAsia="仿宋_GB2312" w:cs="Times New Roman Regular"/>
          <w:b/>
          <w:sz w:val="30"/>
          <w:szCs w:val="30"/>
          <w:lang w:val="zh-CN" w:bidi="en-US"/>
        </w:rPr>
        <w:t>率</w:t>
      </w:r>
      <w:bookmarkEnd w:id="32"/>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指本年度单位</w:t>
      </w:r>
      <w:r>
        <w:rPr>
          <w:rFonts w:hint="eastAsia" w:ascii="Times New Roman Regular" w:hAnsi="Times New Roman Regular" w:eastAsia="仿宋_GB2312" w:cs="Times New Roman Regular"/>
          <w:sz w:val="30"/>
          <w:szCs w:val="30"/>
          <w:lang w:bidi="en-US"/>
        </w:rPr>
        <w:t>地区</w:t>
      </w:r>
      <w:r>
        <w:rPr>
          <w:rFonts w:ascii="Times New Roman Regular" w:hAnsi="Times New Roman Regular" w:eastAsia="仿宋_GB2312" w:cs="Times New Roman Regular"/>
          <w:sz w:val="30"/>
          <w:szCs w:val="30"/>
          <w:lang w:val="zh-CN" w:bidi="en-US"/>
        </w:rPr>
        <w:t>生产总值所占用的建设用地面积与上年相比下降幅度，是反映经济发展水平和土地节约集约利用水平的重要指标。</w:t>
      </w:r>
    </w:p>
    <w:p>
      <w:pPr>
        <w:rPr>
          <w:rFonts w:ascii="仿宋_GB2312" w:hAnsi="仿宋_GB2312" w:eastAsia="仿宋_GB2312" w:cs="仿宋_GB2312"/>
          <w:sz w:val="24"/>
          <w:szCs w:val="21"/>
        </w:rPr>
      </w:pPr>
      <m:oMathPara>
        <m:oMath>
          <m:r>
            <m:rPr>
              <m:sty m:val="p"/>
            </m:rPr>
            <w:rPr>
              <w:rFonts w:hint="eastAsia" w:ascii="Cambria Math" w:hAnsi="Cambria Math" w:eastAsia="仿宋_GB2312" w:cs="仿宋_GB2312"/>
              <w:sz w:val="24"/>
              <w:szCs w:val="21"/>
            </w:rPr>
            <m:t>单位地区生产总值建设用地使用面积=</m:t>
          </m:r>
          <m:f>
            <m:fPr>
              <m:ctrlPr>
                <w:rPr>
                  <w:rFonts w:hint="eastAsia" w:ascii="Cambria Math" w:hAnsi="Cambria Math" w:eastAsia="仿宋_GB2312" w:cs="仿宋_GB2312"/>
                  <w:sz w:val="24"/>
                  <w:szCs w:val="21"/>
                </w:rPr>
              </m:ctrlPr>
            </m:fPr>
            <m:num>
              <m:r>
                <m:rPr>
                  <m:sty m:val="p"/>
                </m:rPr>
                <w:rPr>
                  <w:rFonts w:hint="eastAsia" w:ascii="Cambria Math" w:hAnsi="Cambria Math" w:eastAsia="仿宋_GB2312" w:cs="仿宋_GB2312"/>
                  <w:sz w:val="24"/>
                  <w:szCs w:val="21"/>
                </w:rPr>
                <m:t>建设用地使用面积（亩）</m:t>
              </m:r>
              <m:ctrlPr>
                <w:rPr>
                  <w:rFonts w:hint="eastAsia" w:ascii="Cambria Math" w:hAnsi="Cambria Math" w:eastAsia="仿宋_GB2312" w:cs="仿宋_GB2312"/>
                  <w:sz w:val="24"/>
                  <w:szCs w:val="21"/>
                </w:rPr>
              </m:ctrlPr>
            </m:num>
            <m:den>
              <m:r>
                <m:rPr>
                  <m:sty m:val="p"/>
                </m:rPr>
                <w:rPr>
                  <w:rFonts w:hint="eastAsia" w:ascii="Cambria Math" w:hAnsi="Cambria Math" w:eastAsia="仿宋_GB2312" w:cs="仿宋_GB2312"/>
                  <w:sz w:val="24"/>
                  <w:szCs w:val="21"/>
                </w:rPr>
                <m:t>地区生产总值（万元）</m:t>
              </m:r>
              <m:ctrlPr>
                <w:rPr>
                  <w:rFonts w:hint="eastAsia" w:ascii="Cambria Math" w:hAnsi="Cambria Math" w:eastAsia="仿宋_GB2312" w:cs="仿宋_GB2312"/>
                  <w:sz w:val="24"/>
                  <w:szCs w:val="21"/>
                </w:rPr>
              </m:ctrlPr>
            </m:den>
          </m:f>
        </m:oMath>
      </m:oMathPara>
    </w:p>
    <w:p>
      <w:pPr>
        <w:rPr>
          <w:rFonts w:hint="eastAsia" w:ascii="Cambria Math" w:hAnsi="Cambria Math" w:eastAsia="仿宋_GB2312" w:cs="仿宋_GB2312"/>
          <w:sz w:val="18"/>
          <w:szCs w:val="18"/>
        </w:rPr>
      </w:pPr>
      <m:oMathPara>
        <m:oMath>
          <m:r>
            <m:rPr>
              <m:sty m:val="p"/>
            </m:rPr>
            <w:rPr>
              <w:rFonts w:hint="eastAsia" w:ascii="Cambria Math" w:hAnsi="Cambria Math" w:eastAsia="仿宋_GB2312" w:cs="仿宋_GB2312"/>
              <w:sz w:val="18"/>
              <w:szCs w:val="18"/>
            </w:rPr>
            <m:t>单位地区生产总值建设用地使用面积下降率=</m:t>
          </m:r>
          <m:d>
            <m:dPr>
              <m:begChr m:val="（"/>
              <m:endChr m:val="）"/>
              <m:ctrlPr>
                <w:rPr>
                  <w:rFonts w:hint="eastAsia" w:ascii="Cambria Math" w:hAnsi="Cambria Math" w:eastAsia="仿宋_GB2312" w:cs="仿宋_GB2312"/>
                  <w:sz w:val="18"/>
                  <w:szCs w:val="18"/>
                </w:rPr>
              </m:ctrlPr>
            </m:dPr>
            <m:e>
              <m:r>
                <m:rPr>
                  <m:sty m:val="p"/>
                </m:rPr>
                <w:rPr>
                  <w:rFonts w:hint="eastAsia" w:ascii="Cambria Math" w:hAnsi="Cambria Math" w:eastAsia="仿宋_GB2312" w:cs="仿宋_GB2312"/>
                  <w:sz w:val="18"/>
                  <w:szCs w:val="18"/>
                </w:rPr>
                <m:t>1−</m:t>
              </m:r>
              <m:f>
                <m:fPr>
                  <m:ctrlPr>
                    <w:rPr>
                      <w:rFonts w:hint="eastAsia" w:ascii="Cambria Math" w:hAnsi="Cambria Math" w:eastAsia="仿宋_GB2312" w:cs="仿宋_GB2312"/>
                      <w:sz w:val="18"/>
                      <w:szCs w:val="18"/>
                    </w:rPr>
                  </m:ctrlPr>
                </m:fPr>
                <m:num>
                  <m:r>
                    <m:rPr>
                      <m:sty m:val="p"/>
                    </m:rPr>
                    <w:rPr>
                      <w:rFonts w:hint="eastAsia" w:ascii="Cambria Math" w:hAnsi="Cambria Math" w:eastAsia="仿宋_GB2312" w:cs="仿宋_GB2312"/>
                      <w:sz w:val="18"/>
                      <w:szCs w:val="18"/>
                    </w:rPr>
                    <m:t>本年度单位地区生产总值建设用地使用面积</m:t>
                  </m:r>
                  <m:ctrlPr>
                    <w:rPr>
                      <w:rFonts w:hint="eastAsia" w:ascii="Cambria Math" w:hAnsi="Cambria Math" w:eastAsia="仿宋_GB2312" w:cs="仿宋_GB2312"/>
                      <w:sz w:val="18"/>
                      <w:szCs w:val="18"/>
                    </w:rPr>
                  </m:ctrlPr>
                </m:num>
                <m:den>
                  <m:r>
                    <m:rPr>
                      <m:sty m:val="p"/>
                    </m:rPr>
                    <w:rPr>
                      <w:rFonts w:hint="eastAsia" w:ascii="Cambria Math" w:hAnsi="Cambria Math" w:eastAsia="仿宋_GB2312" w:cs="仿宋_GB2312"/>
                      <w:sz w:val="18"/>
                      <w:szCs w:val="18"/>
                    </w:rPr>
                    <m:t>上年度单位地区生产总值建设用地使用面积</m:t>
                  </m:r>
                  <m:ctrlPr>
                    <w:rPr>
                      <w:rFonts w:hint="eastAsia" w:ascii="Cambria Math" w:hAnsi="Cambria Math" w:eastAsia="仿宋_GB2312" w:cs="仿宋_GB2312"/>
                      <w:sz w:val="18"/>
                      <w:szCs w:val="18"/>
                    </w:rPr>
                  </m:ctrlPr>
                </m:den>
              </m:f>
              <m:ctrlPr>
                <w:rPr>
                  <w:rFonts w:hint="eastAsia" w:ascii="Cambria Math" w:hAnsi="Cambria Math" w:eastAsia="仿宋_GB2312" w:cs="仿宋_GB2312"/>
                  <w:sz w:val="18"/>
                  <w:szCs w:val="18"/>
                </w:rPr>
              </m:ctrlPr>
            </m:e>
          </m:d>
          <m:r>
            <m:rPr>
              <m:sty m:val="p"/>
            </m:rPr>
            <w:rPr>
              <w:rFonts w:hint="eastAsia" w:ascii="Cambria Math" w:hAnsi="Cambria Math" w:eastAsia="仿宋_GB2312" w:cs="仿宋_GB2312"/>
              <w:sz w:val="18"/>
              <w:szCs w:val="18"/>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自然资源</w:t>
      </w:r>
      <w:r>
        <w:rPr>
          <w:rFonts w:ascii="Times New Roman Regular" w:hAnsi="Times New Roman Regular" w:eastAsia="仿宋_GB2312" w:cs="Times New Roman Regular"/>
          <w:sz w:val="30"/>
          <w:szCs w:val="30"/>
          <w:lang w:bidi="en-US"/>
        </w:rPr>
        <w:t>、统计等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3" w:name="_Toc1631604532_WPSOffice_Level1"/>
      <w:r>
        <w:rPr>
          <w:rFonts w:ascii="Times New Roman Regular" w:hAnsi="Times New Roman Regular" w:eastAsia="仿宋_GB2312" w:cs="Times New Roman Regular"/>
          <w:b/>
          <w:sz w:val="30"/>
          <w:szCs w:val="30"/>
          <w:lang w:val="zh-CN" w:bidi="en-US"/>
        </w:rPr>
        <w:t>农业废弃物综合利用</w:t>
      </w:r>
      <w:bookmarkEnd w:id="33"/>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（1）秸秆综合利用率</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指行政区域内综合利用的秸秆量占秸秆产生总量的比例。秸秆综合利用的方式包括秸秆气化、饲料化、能源化、秸秆还田、编织等。</w:t>
      </w:r>
    </w:p>
    <w:p>
      <w:pPr>
        <w:adjustRightInd w:val="0"/>
        <w:snapToGrid w:val="0"/>
        <w:spacing w:line="348" w:lineRule="auto"/>
        <w:ind w:firstLine="480" w:firstLineChars="200"/>
        <w:rPr>
          <w:rFonts w:ascii="仿宋_GB2312" w:hAnsi="仿宋_GB2312" w:eastAsia="仿宋_GB2312" w:cs="仿宋_GB2312"/>
          <w:sz w:val="24"/>
          <w:szCs w:val="21"/>
        </w:rPr>
      </w:pPr>
      <m:oMathPara>
        <m:oMath>
          <m:r>
            <m:rPr>
              <m:sty m:val="p"/>
            </m:rPr>
            <w:rPr>
              <w:rFonts w:hint="eastAsia" w:ascii="Cambria Math" w:hAnsi="Cambria Math" w:eastAsia="仿宋_GB2312" w:cs="仿宋_GB2312"/>
              <w:sz w:val="24"/>
              <w:szCs w:val="21"/>
            </w:rPr>
            <m:t>秸秆综合利用率=</m:t>
          </m:r>
          <m:f>
            <m:fPr>
              <m:ctrlPr>
                <w:rPr>
                  <w:rFonts w:hint="eastAsia" w:ascii="Cambria Math" w:hAnsi="Cambria Math" w:eastAsia="仿宋_GB2312" w:cs="仿宋_GB2312"/>
                  <w:sz w:val="24"/>
                  <w:szCs w:val="21"/>
                </w:rPr>
              </m:ctrlPr>
            </m:fPr>
            <m:num>
              <m:r>
                <m:rPr>
                  <m:sty m:val="p"/>
                </m:rPr>
                <w:rPr>
                  <w:rFonts w:hint="eastAsia" w:ascii="Cambria Math" w:hAnsi="Cambria Math" w:eastAsia="仿宋_GB2312" w:cs="仿宋_GB2312"/>
                  <w:sz w:val="24"/>
                  <w:szCs w:val="21"/>
                </w:rPr>
                <m:t>综合利用的秸秆量（吨）</m:t>
              </m:r>
              <m:ctrlPr>
                <w:rPr>
                  <w:rFonts w:hint="eastAsia" w:ascii="Cambria Math" w:hAnsi="Cambria Math" w:eastAsia="仿宋_GB2312" w:cs="仿宋_GB2312"/>
                  <w:sz w:val="24"/>
                  <w:szCs w:val="21"/>
                </w:rPr>
              </m:ctrlPr>
            </m:num>
            <m:den>
              <m:r>
                <m:rPr>
                  <m:sty m:val="p"/>
                </m:rPr>
                <w:rPr>
                  <w:rFonts w:hint="eastAsia" w:ascii="Cambria Math" w:hAnsi="Cambria Math" w:eastAsia="仿宋_GB2312" w:cs="仿宋_GB2312"/>
                  <w:sz w:val="24"/>
                  <w:szCs w:val="21"/>
                </w:rPr>
                <m:t>秸秆产生总量（吨）</m:t>
              </m:r>
              <m:ctrlPr>
                <w:rPr>
                  <w:rFonts w:hint="eastAsia" w:ascii="Cambria Math" w:hAnsi="Cambria Math" w:eastAsia="仿宋_GB2312" w:cs="仿宋_GB2312"/>
                  <w:sz w:val="24"/>
                  <w:szCs w:val="21"/>
                </w:rPr>
              </m:ctrlPr>
            </m:den>
          </m:f>
          <m:r>
            <m:rPr>
              <m:sty m:val="p"/>
            </m:rPr>
            <w:rPr>
              <w:rFonts w:hint="eastAsia" w:ascii="Cambria Math" w:hAnsi="Cambria Math" w:eastAsia="仿宋_GB2312" w:cs="仿宋_GB2312"/>
              <w:sz w:val="24"/>
              <w:szCs w:val="21"/>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农业农村、统计、生态环境等部门。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（2）畜禽粪污综合利用率</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行政区域内规模化畜禽养殖场通过还田、沼气、堆肥、培养料等方式综合利用的畜禽粪污量占畜禽粪污产生总量的比例。有关标准按照《畜禽规模养殖污染防治条例》（国务院令第643号）、《畜禽养殖业污染物排放标准》（GB18596-2001）和《畜禽粪便无害化处理技术规范》（GB/T36195-2018）执行。</w:t>
      </w:r>
    </w:p>
    <w:p>
      <w:pPr>
        <w:adjustRightInd w:val="0"/>
        <w:snapToGrid w:val="0"/>
        <w:spacing w:line="348" w:lineRule="auto"/>
        <w:ind w:firstLine="480" w:firstLineChars="200"/>
        <w:rPr>
          <w:rFonts w:ascii="仿宋_GB2312" w:hAnsi="仿宋_GB2312" w:eastAsia="仿宋_GB2312" w:cs="仿宋_GB2312"/>
          <w:sz w:val="24"/>
          <w:szCs w:val="21"/>
        </w:rPr>
      </w:pPr>
      <m:oMathPara>
        <m:oMath>
          <m:r>
            <m:rPr>
              <m:sty m:val="p"/>
            </m:rPr>
            <w:rPr>
              <w:rFonts w:hint="eastAsia" w:ascii="Cambria Math" w:hAnsi="Cambria Math" w:eastAsia="仿宋_GB2312" w:cs="仿宋_GB2312"/>
              <w:sz w:val="24"/>
              <w:szCs w:val="21"/>
            </w:rPr>
            <m:t>畜禽粪污综合利用率=</m:t>
          </m:r>
          <m:f>
            <m:fPr>
              <m:ctrlPr>
                <w:rPr>
                  <w:rFonts w:hint="eastAsia" w:ascii="Cambria Math" w:hAnsi="Cambria Math" w:eastAsia="仿宋_GB2312" w:cs="仿宋_GB2312"/>
                  <w:sz w:val="24"/>
                  <w:szCs w:val="21"/>
                </w:rPr>
              </m:ctrlPr>
            </m:fPr>
            <m:num>
              <m:r>
                <m:rPr>
                  <m:sty m:val="p"/>
                </m:rPr>
                <w:rPr>
                  <w:rFonts w:hint="eastAsia" w:ascii="Cambria Math" w:hAnsi="Cambria Math" w:eastAsia="仿宋_GB2312" w:cs="仿宋_GB2312"/>
                  <w:sz w:val="24"/>
                  <w:szCs w:val="21"/>
                </w:rPr>
                <m:t>综合利用的畜禽粪污量（吨）</m:t>
              </m:r>
              <m:ctrlPr>
                <w:rPr>
                  <w:rFonts w:hint="eastAsia" w:ascii="Cambria Math" w:hAnsi="Cambria Math" w:eastAsia="仿宋_GB2312" w:cs="仿宋_GB2312"/>
                  <w:sz w:val="24"/>
                  <w:szCs w:val="21"/>
                </w:rPr>
              </m:ctrlPr>
            </m:num>
            <m:den>
              <m:r>
                <m:rPr>
                  <m:sty m:val="p"/>
                </m:rPr>
                <w:rPr>
                  <w:rFonts w:hint="eastAsia" w:ascii="Cambria Math" w:hAnsi="Cambria Math" w:eastAsia="仿宋_GB2312" w:cs="仿宋_GB2312"/>
                  <w:sz w:val="24"/>
                  <w:szCs w:val="21"/>
                </w:rPr>
                <m:t>畜禽粪污产生总量（吨）</m:t>
              </m:r>
              <m:ctrlPr>
                <w:rPr>
                  <w:rFonts w:hint="eastAsia" w:ascii="Cambria Math" w:hAnsi="Cambria Math" w:eastAsia="仿宋_GB2312" w:cs="仿宋_GB2312"/>
                  <w:sz w:val="24"/>
                  <w:szCs w:val="21"/>
                </w:rPr>
              </m:ctrlPr>
            </m:den>
          </m:f>
          <m:r>
            <m:rPr>
              <m:sty m:val="p"/>
            </m:rPr>
            <w:rPr>
              <w:rFonts w:hint="eastAsia" w:ascii="Cambria Math" w:hAnsi="Cambria Math" w:eastAsia="仿宋_GB2312" w:cs="仿宋_GB2312"/>
              <w:sz w:val="24"/>
              <w:szCs w:val="21"/>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农业农村、生态环境等部门。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ascii="Times New Roman Regular" w:hAnsi="Times New Roman Regular" w:eastAsia="仿宋_GB2312" w:cs="Times New Roman Regular"/>
          <w:b/>
          <w:sz w:val="30"/>
          <w:szCs w:val="30"/>
        </w:rPr>
        <w:t>（3）农膜回收利用率</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主要指用于粮食、蔬菜育秧（苗）和蔬菜、食用菌、水果等大棚设施栽培的0.01毫米以上的加厚农膜的回收利用率。各地区参照原农业部《关于印发&lt;农膜回收行动方案&gt;的通知》（农科教发〔2017〕8号），采取人工捡拾回收、地膜机械化捡拾回收，全生物可降解地膜等技术措施，采用以旧换新、经营主体上交、专业化组织回收、加工企业回收等多种回收利用方式。</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农业农村等部门。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4" w:name="_Toc1158680781_WPSOffice_Level1"/>
      <w:r>
        <w:rPr>
          <w:rFonts w:ascii="Times New Roman Regular" w:hAnsi="Times New Roman Regular" w:eastAsia="仿宋_GB2312" w:cs="Times New Roman Regular"/>
          <w:b/>
          <w:sz w:val="30"/>
          <w:szCs w:val="30"/>
          <w:lang w:val="zh-CN" w:bidi="en-US"/>
        </w:rPr>
        <w:t>一般工业固体废物综合利用率</w:t>
      </w:r>
      <w:bookmarkEnd w:id="34"/>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行政区域内一般工业固体废物综合利用量占一般工业固体废物产生量（包括综合利用往年贮存量）的百分率。固体废物综合利用量指企业通过回收、加工、循环、交换等方式，从固体废物中提取或者将其转化为可以利用的资源、能源和</w:t>
      </w:r>
      <w:r>
        <w:rPr>
          <w:rFonts w:hint="eastAsia" w:ascii="Times New Roman Regular" w:hAnsi="Times New Roman Regular" w:eastAsia="仿宋_GB2312" w:cs="Times New Roman Regular"/>
          <w:sz w:val="30"/>
          <w:szCs w:val="30"/>
          <w:lang w:val="zh-CN" w:bidi="en-US"/>
        </w:rPr>
        <w:t>其他</w:t>
      </w:r>
      <w:r>
        <w:rPr>
          <w:rFonts w:ascii="Times New Roman Regular" w:hAnsi="Times New Roman Regular" w:eastAsia="仿宋_GB2312" w:cs="Times New Roman Regular"/>
          <w:sz w:val="30"/>
          <w:szCs w:val="30"/>
          <w:lang w:val="zh-CN" w:bidi="en-US"/>
        </w:rPr>
        <w:t>原材料的固体废物量（包括综合利用往年贮存量）。有关标准参照《一般工业固体废物贮存、处置场污染控制标准》（GB18599-20</w:t>
      </w:r>
      <w:r>
        <w:rPr>
          <w:rFonts w:hint="eastAsia" w:ascii="Times New Roman Regular" w:hAnsi="Times New Roman Regular" w:eastAsia="仿宋_GB2312" w:cs="Times New Roman Regular"/>
          <w:sz w:val="30"/>
          <w:szCs w:val="30"/>
          <w:lang w:bidi="en-US"/>
        </w:rPr>
        <w:t>20</w:t>
      </w:r>
      <w:r>
        <w:rPr>
          <w:rFonts w:ascii="Times New Roman Regular" w:hAnsi="Times New Roman Regular" w:eastAsia="仿宋_GB2312" w:cs="Times New Roman Regular"/>
          <w:sz w:val="30"/>
          <w:szCs w:val="30"/>
          <w:lang w:val="zh-CN" w:bidi="en-US"/>
        </w:rPr>
        <w:t>）</w:t>
      </w:r>
      <w:r>
        <w:rPr>
          <w:rFonts w:hint="eastAsia" w:ascii="Times New Roman Regular" w:hAnsi="Times New Roman Regular" w:eastAsia="仿宋_GB2312" w:cs="Times New Roman Regular"/>
          <w:sz w:val="30"/>
          <w:szCs w:val="30"/>
          <w:lang w:bidi="en-US"/>
        </w:rPr>
        <w:t>和《贵州省一般工业固体废物</w:t>
      </w:r>
      <w:r>
        <w:rPr>
          <w:rFonts w:ascii="Times New Roman Regular" w:hAnsi="Times New Roman Regular" w:eastAsia="仿宋_GB2312" w:cs="Times New Roman Regular"/>
          <w:sz w:val="30"/>
          <w:szCs w:val="30"/>
          <w:lang w:val="zh-CN" w:bidi="en-US"/>
        </w:rPr>
        <w:t>贮存、处置场污染控制标准</w:t>
      </w:r>
      <w:r>
        <w:rPr>
          <w:rFonts w:hint="eastAsia" w:ascii="Times New Roman Regular" w:hAnsi="Times New Roman Regular" w:eastAsia="仿宋_GB2312" w:cs="Times New Roman Regular"/>
          <w:sz w:val="30"/>
          <w:szCs w:val="30"/>
          <w:lang w:bidi="en-US"/>
        </w:rPr>
        <w:t>》（DB52/865-2013）</w:t>
      </w:r>
      <w:r>
        <w:rPr>
          <w:rFonts w:ascii="Times New Roman Regular" w:hAnsi="Times New Roman Regular" w:eastAsia="仿宋_GB2312" w:cs="Times New Roman Regular"/>
          <w:sz w:val="30"/>
          <w:szCs w:val="30"/>
          <w:lang w:val="zh-CN" w:bidi="en-US"/>
        </w:rPr>
        <w:t>。</w:t>
      </w:r>
    </w:p>
    <w:p>
      <w:pPr>
        <w:adjustRightInd w:val="0"/>
        <w:snapToGrid w:val="0"/>
        <w:spacing w:line="348" w:lineRule="auto"/>
        <w:ind w:firstLine="360" w:firstLineChars="200"/>
        <w:rPr>
          <w:rFonts w:ascii="Times New Roman" w:hAnsi="Times New Roman" w:eastAsia="仿宋"/>
          <w:sz w:val="18"/>
          <w:szCs w:val="15"/>
        </w:rPr>
      </w:pPr>
      <m:oMathPara>
        <m:oMath>
          <m:r>
            <m:rPr>
              <m:sty m:val="p"/>
            </m:rPr>
            <w:rPr>
              <w:rFonts w:ascii="Cambria Math" w:hAnsi="Cambria Math" w:eastAsia="仿宋"/>
              <w:sz w:val="18"/>
              <w:szCs w:val="15"/>
            </w:rPr>
            <m:t>一般工业固体废物综合利用率=</m:t>
          </m:r>
          <m:f>
            <m:fPr>
              <m:ctrlPr>
                <w:rPr>
                  <w:rFonts w:hint="eastAsia" w:ascii="Cambria Math" w:hAnsi="Cambria Math" w:eastAsia="仿宋_GB2312" w:cs="仿宋_GB2312"/>
                  <w:sz w:val="18"/>
                  <w:szCs w:val="15"/>
                </w:rPr>
              </m:ctrlPr>
            </m:fPr>
            <m:num>
              <m:r>
                <m:rPr>
                  <m:sty m:val="p"/>
                </m:rPr>
                <w:rPr>
                  <w:rFonts w:hint="eastAsia" w:ascii="Cambria Math" w:hAnsi="Cambria Math" w:eastAsia="仿宋_GB2312" w:cs="仿宋_GB2312"/>
                  <w:sz w:val="18"/>
                  <w:szCs w:val="15"/>
                </w:rPr>
                <m:t>一般工业固体废物综合利用量（吨）</m:t>
              </m:r>
              <m:ctrlPr>
                <w:rPr>
                  <w:rFonts w:hint="eastAsia" w:ascii="Cambria Math" w:hAnsi="Cambria Math" w:eastAsia="仿宋_GB2312" w:cs="仿宋_GB2312"/>
                  <w:sz w:val="18"/>
                  <w:szCs w:val="15"/>
                </w:rPr>
              </m:ctrlPr>
            </m:num>
            <m:den>
              <m:r>
                <m:rPr>
                  <m:sty m:val="p"/>
                </m:rPr>
                <w:rPr>
                  <w:rFonts w:hint="eastAsia" w:ascii="Cambria Math" w:hAnsi="Cambria Math" w:eastAsia="仿宋_GB2312" w:cs="仿宋_GB2312"/>
                  <w:sz w:val="18"/>
                  <w:szCs w:val="15"/>
                </w:rPr>
                <m:t>一般工业固体废物产生量（吨）+综合利用往年贮存量（吨）</m:t>
              </m:r>
              <m:ctrlPr>
                <w:rPr>
                  <w:rFonts w:hint="eastAsia" w:ascii="Cambria Math" w:hAnsi="Cambria Math" w:eastAsia="仿宋_GB2312" w:cs="仿宋_GB2312"/>
                  <w:sz w:val="18"/>
                  <w:szCs w:val="15"/>
                </w:rPr>
              </m:ctrlPr>
            </m:den>
          </m:f>
          <m:r>
            <m:rPr>
              <m:sty m:val="p"/>
            </m:rPr>
            <w:rPr>
              <w:rFonts w:ascii="Cambria Math" w:hAnsi="Cambria Math"/>
              <w:sz w:val="18"/>
              <w:szCs w:val="15"/>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工业和信息化、</w:t>
      </w:r>
      <w:r>
        <w:rPr>
          <w:rFonts w:hint="eastAsia" w:ascii="Times New Roman Regular" w:hAnsi="Times New Roman Regular" w:eastAsia="仿宋_GB2312" w:cs="Times New Roman Regular"/>
          <w:sz w:val="30"/>
          <w:szCs w:val="30"/>
          <w:lang w:bidi="en-US"/>
        </w:rPr>
        <w:t>发展改革、</w:t>
      </w:r>
      <w:r>
        <w:rPr>
          <w:rFonts w:ascii="Times New Roman Regular" w:hAnsi="Times New Roman Regular" w:eastAsia="仿宋_GB2312" w:cs="Times New Roman Regular"/>
          <w:sz w:val="30"/>
          <w:szCs w:val="30"/>
          <w:lang w:val="zh-CN" w:bidi="en-US"/>
        </w:rPr>
        <w:t>生态环境等部门。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5" w:name="_Toc566175271_WPSOffice_Level1"/>
      <w:r>
        <w:rPr>
          <w:rFonts w:ascii="Times New Roman Regular" w:hAnsi="Times New Roman Regular" w:eastAsia="仿宋_GB2312" w:cs="Times New Roman Regular"/>
          <w:b/>
          <w:sz w:val="30"/>
          <w:szCs w:val="30"/>
          <w:lang w:val="zh-CN" w:bidi="en-US"/>
        </w:rPr>
        <w:t>集中式饮用水水源地水质优良比例</w:t>
      </w:r>
      <w:bookmarkEnd w:id="35"/>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bidi="en-US"/>
        </w:rPr>
        <w:t>乡镇级、</w:t>
      </w:r>
      <w:r>
        <w:rPr>
          <w:rFonts w:ascii="Times New Roman Regular" w:hAnsi="Times New Roman Regular" w:eastAsia="仿宋_GB2312" w:cs="Times New Roman Regular"/>
          <w:sz w:val="30"/>
          <w:szCs w:val="30"/>
          <w:lang w:val="zh-CN" w:bidi="en-US"/>
        </w:rPr>
        <w:t>县级</w:t>
      </w:r>
      <w:r>
        <w:rPr>
          <w:rFonts w:hint="eastAsia" w:ascii="Times New Roman Regular" w:hAnsi="Times New Roman Regular" w:eastAsia="仿宋_GB2312" w:cs="Times New Roman Regular"/>
          <w:sz w:val="30"/>
          <w:szCs w:val="30"/>
          <w:lang w:bidi="en-US"/>
        </w:rPr>
        <w:t>及中心城市</w:t>
      </w:r>
      <w:r>
        <w:rPr>
          <w:rFonts w:ascii="Times New Roman Regular" w:hAnsi="Times New Roman Regular" w:eastAsia="仿宋_GB2312" w:cs="Times New Roman Regular"/>
          <w:sz w:val="30"/>
          <w:szCs w:val="30"/>
          <w:lang w:val="zh-CN" w:bidi="en-US"/>
        </w:rPr>
        <w:t>集中式饮用水水源地水质达到或优于《地表水环境质量标准》（GB3838-2002）Ⅲ类标准</w:t>
      </w:r>
      <w:r>
        <w:rPr>
          <w:rFonts w:hint="eastAsia" w:ascii="Times New Roman Regular" w:hAnsi="Times New Roman Regular" w:eastAsia="仿宋_GB2312" w:cs="Times New Roman Regular"/>
          <w:sz w:val="30"/>
          <w:szCs w:val="30"/>
          <w:lang w:val="zh-CN" w:bidi="en-US"/>
        </w:rPr>
        <w:t>或</w:t>
      </w:r>
      <w:r>
        <w:rPr>
          <w:rFonts w:ascii="Times New Roman Regular" w:hAnsi="Times New Roman Regular" w:eastAsia="仿宋_GB2312" w:cs="Times New Roman Regular"/>
          <w:sz w:val="30"/>
          <w:szCs w:val="30"/>
          <w:lang w:val="zh-CN" w:bidi="en-US"/>
        </w:rPr>
        <w:t>《地下水质量标准》（GB/T14848-2017）Ⅲ类标准的水源地个数占总个数的百分比。</w:t>
      </w:r>
    </w:p>
    <w:p>
      <w:pPr>
        <w:adjustRightInd w:val="0"/>
        <w:snapToGrid w:val="0"/>
        <w:spacing w:line="348" w:lineRule="auto"/>
        <w:ind w:firstLine="600"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sz w:val="30"/>
          <w:szCs w:val="30"/>
          <w:lang w:val="zh-CN" w:bidi="en-US"/>
        </w:rPr>
        <w:t>注：可提供详实的监测分析报告和有关基础数据，并由</w:t>
      </w:r>
      <w:r>
        <w:rPr>
          <w:rFonts w:hint="eastAsia" w:ascii="Times New Roman Regular" w:hAnsi="Times New Roman Regular" w:eastAsia="仿宋_GB2312" w:cs="Times New Roman Regular"/>
          <w:sz w:val="30"/>
          <w:szCs w:val="30"/>
          <w:lang w:val="zh-CN" w:bidi="en-US"/>
        </w:rPr>
        <w:t>市州级</w:t>
      </w:r>
      <w:r>
        <w:rPr>
          <w:rFonts w:ascii="Times New Roman Regular" w:hAnsi="Times New Roman Regular" w:eastAsia="仿宋_GB2312" w:cs="Times New Roman Regular"/>
          <w:sz w:val="30"/>
          <w:szCs w:val="30"/>
          <w:lang w:val="zh-CN" w:bidi="en-US"/>
        </w:rPr>
        <w:t>生态环境部门提供证明或意见，以剔除外来输入影响。</w:t>
      </w:r>
    </w:p>
    <w:p>
      <w:pPr>
        <w:adjustRightInd w:val="0"/>
        <w:snapToGrid w:val="0"/>
        <w:spacing w:line="348" w:lineRule="auto"/>
        <w:ind w:firstLine="360" w:firstLineChars="200"/>
        <w:rPr>
          <w:rFonts w:ascii="Times New Roman" w:hAnsi="Times New Roman" w:eastAsia="仿宋"/>
          <w:sz w:val="18"/>
          <w:szCs w:val="15"/>
        </w:rPr>
      </w:pPr>
      <m:oMathPara>
        <m:oMath>
          <m:r>
            <m:rPr>
              <m:sty m:val="p"/>
            </m:rPr>
            <w:rPr>
              <w:rFonts w:ascii="Cambria Math" w:hAnsi="Cambria Math" w:eastAsia="仿宋"/>
              <w:sz w:val="18"/>
              <w:szCs w:val="15"/>
            </w:rPr>
            <m:t>集中式饮用水水源地水质优良比例=</m:t>
          </m:r>
          <m:f>
            <m:fPr>
              <m:ctrlPr>
                <w:rPr>
                  <w:rFonts w:hint="eastAsia" w:ascii="Cambria Math" w:hAnsi="Cambria Math" w:eastAsia="仿宋_GB2312" w:cs="仿宋_GB2312"/>
                  <w:sz w:val="18"/>
                  <w:szCs w:val="15"/>
                </w:rPr>
              </m:ctrlPr>
            </m:fPr>
            <m:num>
              <m:r>
                <m:rPr>
                  <m:sty m:val="p"/>
                </m:rPr>
                <w:rPr>
                  <w:rFonts w:hint="eastAsia" w:ascii="Cambria Math" w:hAnsi="Cambria Math" w:eastAsia="仿宋_GB2312" w:cs="仿宋_GB2312"/>
                  <w:sz w:val="18"/>
                  <w:szCs w:val="15"/>
                </w:rPr>
                <m:t>集中式饮用水水源地水质达到或优于Ⅲ类的水源地个数</m:t>
              </m:r>
              <m:ctrlPr>
                <w:rPr>
                  <w:rFonts w:hint="eastAsia" w:ascii="Cambria Math" w:hAnsi="Cambria Math" w:eastAsia="仿宋_GB2312" w:cs="仿宋_GB2312"/>
                  <w:sz w:val="18"/>
                  <w:szCs w:val="15"/>
                </w:rPr>
              </m:ctrlPr>
            </m:num>
            <m:den>
              <m:r>
                <m:rPr>
                  <m:sty m:val="p"/>
                </m:rPr>
                <w:rPr>
                  <w:rFonts w:hint="eastAsia" w:ascii="Cambria Math" w:hAnsi="Cambria Math" w:eastAsia="仿宋_GB2312" w:cs="仿宋_GB2312"/>
                  <w:sz w:val="18"/>
                  <w:szCs w:val="15"/>
                </w:rPr>
                <m:t>集中式饮用水水源地总个数</m:t>
              </m:r>
              <m:ctrlPr>
                <w:rPr>
                  <w:rFonts w:hint="eastAsia" w:ascii="Cambria Math" w:hAnsi="Cambria Math" w:eastAsia="仿宋_GB2312" w:cs="仿宋_GB2312"/>
                  <w:sz w:val="18"/>
                  <w:szCs w:val="15"/>
                </w:rPr>
              </m:ctrlPr>
            </m:den>
          </m:f>
          <m:r>
            <m:rPr>
              <m:sty m:val="p"/>
            </m:rPr>
            <w:rPr>
              <w:rFonts w:ascii="Cambria Math" w:hAnsi="Cambria Math"/>
              <w:sz w:val="18"/>
              <w:szCs w:val="15"/>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生态环境</w:t>
      </w:r>
      <w:r>
        <w:rPr>
          <w:rFonts w:ascii="Times New Roman Regular" w:hAnsi="Times New Roman Regular" w:eastAsia="仿宋_GB2312" w:cs="Times New Roman Regular"/>
          <w:sz w:val="30"/>
          <w:szCs w:val="30"/>
          <w:lang w:bidi="en-US"/>
        </w:rPr>
        <w:t>、水利等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6" w:name="_Toc207739840_WPSOffice_Level1"/>
      <w:r>
        <w:rPr>
          <w:rFonts w:ascii="Times New Roman Regular" w:hAnsi="Times New Roman Regular" w:eastAsia="仿宋_GB2312" w:cs="Times New Roman Regular"/>
          <w:b/>
          <w:sz w:val="30"/>
          <w:szCs w:val="30"/>
          <w:lang w:val="zh-CN" w:bidi="en-US"/>
        </w:rPr>
        <w:t>村镇饮用水</w:t>
      </w:r>
      <w:r>
        <w:rPr>
          <w:rFonts w:hint="eastAsia" w:ascii="Times New Roman Regular" w:hAnsi="Times New Roman Regular" w:eastAsia="仿宋_GB2312" w:cs="Times New Roman Regular"/>
          <w:b/>
          <w:sz w:val="30"/>
          <w:szCs w:val="30"/>
          <w:lang w:val="zh-CN" w:bidi="en-US"/>
        </w:rPr>
        <w:t>卫生安全</w:t>
      </w:r>
      <w:bookmarkEnd w:id="36"/>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val="zh-CN" w:bidi="en-US"/>
        </w:rPr>
        <w:t>对</w:t>
      </w:r>
      <w:r>
        <w:rPr>
          <w:rFonts w:ascii="Times New Roman Regular" w:hAnsi="Times New Roman Regular" w:eastAsia="仿宋_GB2312" w:cs="Times New Roman Regular"/>
          <w:sz w:val="30"/>
          <w:szCs w:val="30"/>
          <w:lang w:val="zh-CN" w:bidi="en-US"/>
        </w:rPr>
        <w:t>行政区域内</w:t>
      </w:r>
      <w:r>
        <w:rPr>
          <w:rFonts w:hint="eastAsia" w:ascii="Times New Roman Regular" w:hAnsi="Times New Roman Regular" w:eastAsia="仿宋_GB2312" w:cs="Times New Roman Regular"/>
          <w:sz w:val="30"/>
          <w:szCs w:val="30"/>
          <w:lang w:val="zh-CN" w:bidi="en-US"/>
        </w:rPr>
        <w:t>村镇市政供水和部分覆盖范围相对较大的自建供水设施的</w:t>
      </w:r>
      <w:r>
        <w:rPr>
          <w:rFonts w:ascii="Times New Roman Regular" w:hAnsi="Times New Roman Regular" w:eastAsia="仿宋_GB2312" w:cs="Times New Roman Regular"/>
          <w:sz w:val="30"/>
          <w:szCs w:val="30"/>
          <w:lang w:val="zh-CN" w:bidi="en-US"/>
        </w:rPr>
        <w:t>饮用水水质</w:t>
      </w:r>
      <w:r>
        <w:rPr>
          <w:rFonts w:hint="eastAsia" w:ascii="Times New Roman Regular" w:hAnsi="Times New Roman Regular" w:eastAsia="仿宋_GB2312" w:cs="Times New Roman Regular"/>
          <w:sz w:val="30"/>
          <w:szCs w:val="30"/>
          <w:lang w:val="zh-CN" w:bidi="en-US"/>
        </w:rPr>
        <w:t>进行卫生监测、</w:t>
      </w:r>
      <w:r>
        <w:rPr>
          <w:rFonts w:hint="eastAsia" w:ascii="Times New Roman Regular" w:hAnsi="Times New Roman Regular" w:eastAsia="仿宋_GB2312" w:cs="Times New Roman Regular"/>
          <w:sz w:val="30"/>
          <w:szCs w:val="30"/>
          <w:lang w:bidi="en-US"/>
        </w:rPr>
        <w:t>掌握</w:t>
      </w:r>
      <w:r>
        <w:rPr>
          <w:rFonts w:hint="eastAsia" w:ascii="Times New Roman Regular" w:hAnsi="Times New Roman Regular" w:eastAsia="仿宋_GB2312" w:cs="Times New Roman Regular"/>
          <w:sz w:val="30"/>
          <w:szCs w:val="30"/>
          <w:lang w:val="zh-CN" w:bidi="en-US"/>
        </w:rPr>
        <w:t>饮用水卫生基本状况。</w:t>
      </w:r>
      <w:r>
        <w:rPr>
          <w:rFonts w:hint="eastAsia" w:ascii="Times New Roman Regular" w:hAnsi="Times New Roman Regular" w:eastAsia="仿宋_GB2312" w:cs="Times New Roman Regular"/>
          <w:sz w:val="30"/>
          <w:szCs w:val="30"/>
          <w:lang w:bidi="en-US"/>
        </w:rPr>
        <w:t>水质要求满足《生活饮用水卫生标准》（GB5749-2006）。</w:t>
      </w:r>
      <w:r>
        <w:rPr>
          <w:rFonts w:hint="eastAsia" w:ascii="Times New Roman Regular" w:hAnsi="Times New Roman Regular" w:eastAsia="仿宋_GB2312" w:cs="Times New Roman Regular"/>
          <w:sz w:val="30"/>
          <w:szCs w:val="30"/>
          <w:lang w:val="zh-CN" w:bidi="en-US"/>
        </w:rPr>
        <w:t>要求创建地区</w:t>
      </w:r>
      <w:r>
        <w:rPr>
          <w:rFonts w:ascii="Times New Roman Regular" w:hAnsi="Times New Roman Regular" w:eastAsia="仿宋_GB2312" w:cs="Times New Roman Regular"/>
          <w:sz w:val="30"/>
          <w:szCs w:val="30"/>
          <w:lang w:val="zh-CN" w:bidi="en-US"/>
        </w:rPr>
        <w:t>连续</w:t>
      </w:r>
      <w:r>
        <w:rPr>
          <w:rFonts w:hint="eastAsia" w:ascii="Times New Roman Regular" w:hAnsi="Times New Roman Regular" w:eastAsia="仿宋_GB2312" w:cs="Times New Roman Regular"/>
          <w:sz w:val="30"/>
          <w:szCs w:val="30"/>
          <w:lang w:bidi="en-US"/>
        </w:rPr>
        <w:t>3</w:t>
      </w:r>
      <w:r>
        <w:rPr>
          <w:rFonts w:ascii="Times New Roman Regular" w:hAnsi="Times New Roman Regular" w:eastAsia="仿宋_GB2312" w:cs="Times New Roman Regular"/>
          <w:sz w:val="30"/>
          <w:szCs w:val="30"/>
          <w:lang w:val="zh-CN" w:bidi="en-US"/>
        </w:rPr>
        <w:t>年未发生</w:t>
      </w:r>
      <w:r>
        <w:rPr>
          <w:rFonts w:hint="eastAsia" w:ascii="Times New Roman Regular" w:hAnsi="Times New Roman Regular" w:eastAsia="仿宋_GB2312" w:cs="Times New Roman Regular"/>
          <w:sz w:val="30"/>
          <w:szCs w:val="30"/>
          <w:lang w:val="zh-CN" w:bidi="en-US"/>
        </w:rPr>
        <w:t>村镇</w:t>
      </w:r>
      <w:r>
        <w:rPr>
          <w:rFonts w:ascii="Times New Roman Regular" w:hAnsi="Times New Roman Regular" w:eastAsia="仿宋_GB2312" w:cs="Times New Roman Regular"/>
          <w:sz w:val="30"/>
          <w:szCs w:val="30"/>
          <w:lang w:val="zh-CN" w:bidi="en-US"/>
        </w:rPr>
        <w:t>饮用水污染事故</w:t>
      </w:r>
      <w:r>
        <w:rPr>
          <w:rFonts w:hint="eastAsia" w:ascii="Times New Roman Regular" w:hAnsi="Times New Roman Regular" w:eastAsia="仿宋_GB2312" w:cs="Times New Roman Regular"/>
          <w:sz w:val="30"/>
          <w:szCs w:val="30"/>
          <w:lang w:val="zh-CN" w:bidi="en-US"/>
        </w:rPr>
        <w:t>；同时</w:t>
      </w:r>
      <w:r>
        <w:rPr>
          <w:rFonts w:ascii="Times New Roman Regular" w:hAnsi="Times New Roman Regular" w:eastAsia="仿宋_GB2312" w:cs="Times New Roman Regular"/>
          <w:sz w:val="30"/>
          <w:szCs w:val="30"/>
          <w:lang w:val="zh-CN" w:bidi="en-US"/>
        </w:rPr>
        <w:t>创建地区</w:t>
      </w:r>
      <w:r>
        <w:rPr>
          <w:rFonts w:hint="eastAsia" w:ascii="Times New Roman Regular" w:hAnsi="Times New Roman Regular" w:eastAsia="仿宋_GB2312" w:cs="Times New Roman Regular"/>
          <w:sz w:val="30"/>
          <w:szCs w:val="30"/>
          <w:lang w:val="zh-CN" w:bidi="en-US"/>
        </w:rPr>
        <w:t>应</w:t>
      </w:r>
      <w:r>
        <w:rPr>
          <w:rFonts w:ascii="Times New Roman Regular" w:hAnsi="Times New Roman Regular" w:eastAsia="仿宋_GB2312" w:cs="Times New Roman Regular"/>
          <w:sz w:val="30"/>
          <w:szCs w:val="30"/>
          <w:lang w:val="zh-CN" w:bidi="en-US"/>
        </w:rPr>
        <w:t>开展“千吨万人”（供水人口在10000人或日供水1000吨以上）饮用水水源调查评估和保护区划定工作，参照《饮用水水源保护区标志技术要求》（HJ/T433-2008）、《关于&lt;集中式饮用水水源环境保护指南（试行）&gt;的通知》（环办〔2012〕50号）、《关于印发农业农村污染治理攻坚战行动计划的通知》（环土壤〔2018〕143号）执行。</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bidi="en-US"/>
        </w:rPr>
        <w:t>水利、</w:t>
      </w:r>
      <w:r>
        <w:rPr>
          <w:rFonts w:ascii="Times New Roman Regular" w:hAnsi="Times New Roman Regular" w:eastAsia="仿宋_GB2312" w:cs="Times New Roman Regular"/>
          <w:sz w:val="30"/>
          <w:szCs w:val="30"/>
          <w:lang w:val="zh-CN" w:bidi="en-US"/>
        </w:rPr>
        <w:t>卫生健康、生态环境</w:t>
      </w:r>
      <w:r>
        <w:rPr>
          <w:rFonts w:ascii="Times New Roman Regular" w:hAnsi="Times New Roman Regular" w:eastAsia="仿宋_GB2312" w:cs="Times New Roman Regular"/>
          <w:sz w:val="30"/>
          <w:szCs w:val="30"/>
          <w:lang w:bidi="en-US"/>
        </w:rPr>
        <w:t>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7" w:name="_Toc1822564505_WPSOffice_Level1"/>
      <w:r>
        <w:rPr>
          <w:rFonts w:ascii="Times New Roman Regular" w:hAnsi="Times New Roman Regular" w:eastAsia="仿宋_GB2312" w:cs="Times New Roman Regular"/>
          <w:b/>
          <w:sz w:val="30"/>
          <w:szCs w:val="30"/>
          <w:lang w:val="zh-CN" w:bidi="en-US"/>
        </w:rPr>
        <w:t>城镇污水处理</w:t>
      </w:r>
      <w:bookmarkEnd w:id="37"/>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hint="eastAsia" w:ascii="Times New Roman Regular" w:hAnsi="Times New Roman Regular" w:eastAsia="仿宋_GB2312" w:cs="Times New Roman Regular"/>
          <w:b/>
          <w:sz w:val="30"/>
          <w:szCs w:val="30"/>
        </w:rPr>
        <w:t>（1）县城生活污水处理率</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val="zh-CN" w:bidi="en-US"/>
        </w:rPr>
        <w:t>县城</w:t>
      </w:r>
      <w:r>
        <w:rPr>
          <w:rFonts w:ascii="Times New Roman Regular" w:hAnsi="Times New Roman Regular" w:eastAsia="仿宋_GB2312" w:cs="Times New Roman Regular"/>
          <w:sz w:val="30"/>
          <w:szCs w:val="30"/>
          <w:lang w:val="zh-CN" w:bidi="en-US"/>
        </w:rPr>
        <w:t>建成区内经污水处理厂或</w:t>
      </w:r>
      <w:r>
        <w:rPr>
          <w:rFonts w:hint="eastAsia" w:ascii="Times New Roman Regular" w:hAnsi="Times New Roman Regular" w:eastAsia="仿宋_GB2312" w:cs="Times New Roman Regular"/>
          <w:sz w:val="30"/>
          <w:szCs w:val="30"/>
          <w:lang w:val="zh-CN" w:bidi="en-US"/>
        </w:rPr>
        <w:t>其他</w:t>
      </w:r>
      <w:r>
        <w:rPr>
          <w:rFonts w:ascii="Times New Roman Regular" w:hAnsi="Times New Roman Regular" w:eastAsia="仿宋_GB2312" w:cs="Times New Roman Regular"/>
          <w:sz w:val="30"/>
          <w:szCs w:val="30"/>
          <w:lang w:val="zh-CN" w:bidi="en-US"/>
        </w:rPr>
        <w:t>污水处理设施</w:t>
      </w:r>
      <w:r>
        <w:rPr>
          <w:rFonts w:hint="eastAsia" w:ascii="Times New Roman Regular" w:hAnsi="Times New Roman Regular" w:eastAsia="仿宋_GB2312" w:cs="Times New Roman Regular"/>
          <w:sz w:val="30"/>
          <w:szCs w:val="30"/>
          <w:lang w:val="zh-CN" w:bidi="en-US"/>
        </w:rPr>
        <w:t>处理达标的污水量</w:t>
      </w:r>
      <w:r>
        <w:rPr>
          <w:rFonts w:ascii="Times New Roman Regular" w:hAnsi="Times New Roman Regular" w:eastAsia="仿宋_GB2312" w:cs="Times New Roman Regular"/>
          <w:sz w:val="30"/>
          <w:szCs w:val="30"/>
          <w:lang w:val="zh-CN" w:bidi="en-US"/>
        </w:rPr>
        <w:t>占污水排放总量的百分比</w:t>
      </w:r>
      <w:r>
        <w:rPr>
          <w:rFonts w:hint="eastAsia" w:ascii="Times New Roman Regular" w:hAnsi="Times New Roman Regular" w:eastAsia="仿宋_GB2312" w:cs="Times New Roman Regular"/>
          <w:sz w:val="30"/>
          <w:szCs w:val="30"/>
          <w:lang w:val="zh-CN" w:bidi="en-US"/>
        </w:rPr>
        <w:t>；污水排放总量以供水总量的80%计</w:t>
      </w:r>
      <w:r>
        <w:rPr>
          <w:rFonts w:ascii="Times New Roman Regular" w:hAnsi="Times New Roman Regular" w:eastAsia="仿宋_GB2312" w:cs="Times New Roman Regular"/>
          <w:sz w:val="30"/>
          <w:szCs w:val="30"/>
          <w:lang w:val="zh-CN" w:bidi="en-US"/>
        </w:rPr>
        <w:t>。</w:t>
      </w:r>
      <w:r>
        <w:rPr>
          <w:rFonts w:hint="eastAsia" w:ascii="Times New Roman Regular" w:hAnsi="Times New Roman Regular" w:eastAsia="仿宋_GB2312" w:cs="Times New Roman Regular"/>
          <w:sz w:val="30"/>
          <w:szCs w:val="30"/>
          <w:lang w:val="zh-CN" w:bidi="en-US"/>
        </w:rPr>
        <w:t>另外，</w:t>
      </w:r>
      <w:r>
        <w:rPr>
          <w:rFonts w:ascii="Times New Roman Regular" w:hAnsi="Times New Roman Regular" w:eastAsia="仿宋_GB2312" w:cs="Times New Roman Regular"/>
          <w:sz w:val="30"/>
          <w:szCs w:val="30"/>
          <w:lang w:val="zh-CN" w:bidi="en-US"/>
        </w:rPr>
        <w:t>要求污水处理厂污泥得到安全处置，污泥处置参照《城镇排水与污水处理条例》（国务院令第641号）执行。</w:t>
      </w:r>
    </w:p>
    <w:p>
      <w:pPr>
        <w:rPr>
          <w:rFonts w:hint="eastAsia" w:ascii="Cambria Math" w:hAnsi="Cambria Math" w:eastAsia="仿宋_GB2312" w:cs="仿宋_GB2312"/>
          <w:szCs w:val="21"/>
        </w:rPr>
      </w:pPr>
      <m:oMathPara>
        <m:oMath>
          <m:r>
            <m:rPr>
              <m:sty m:val="p"/>
            </m:rPr>
            <w:rPr>
              <w:rFonts w:hint="eastAsia" w:ascii="Cambria Math" w:hAnsi="Cambria Math" w:eastAsia="仿宋_GB2312" w:cs="仿宋_GB2312"/>
              <w:szCs w:val="21"/>
            </w:rPr>
            <m:t>县城生活污水处理率=</m:t>
          </m:r>
          <m:f>
            <m:fPr>
              <m:ctrlPr>
                <w:rPr>
                  <w:rFonts w:hint="eastAsia" w:ascii="Cambria Math" w:hAnsi="Cambria Math" w:eastAsia="仿宋_GB2312" w:cs="仿宋_GB2312"/>
                  <w:szCs w:val="21"/>
                </w:rPr>
              </m:ctrlPr>
            </m:fPr>
            <m:num>
              <m:r>
                <m:rPr>
                  <m:sty m:val="p"/>
                </m:rPr>
                <w:rPr>
                  <w:rFonts w:hint="eastAsia" w:ascii="Cambria Math" w:hAnsi="Cambria Math" w:eastAsia="仿宋_GB2312" w:cs="仿宋_GB2312"/>
                  <w:szCs w:val="21"/>
                </w:rPr>
                <m:t>污水处理厂和其他污水处理设施实际污水处理量（吨）</m:t>
              </m:r>
              <m:ctrlPr>
                <w:rPr>
                  <w:rFonts w:hint="eastAsia" w:ascii="Cambria Math" w:hAnsi="Cambria Math" w:eastAsia="仿宋_GB2312" w:cs="仿宋_GB2312"/>
                  <w:szCs w:val="21"/>
                </w:rPr>
              </m:ctrlPr>
            </m:num>
            <m:den>
              <m:r>
                <m:rPr>
                  <m:sty m:val="p"/>
                </m:rPr>
                <w:rPr>
                  <w:rFonts w:hint="eastAsia" w:ascii="Cambria Math" w:hAnsi="Cambria Math" w:eastAsia="仿宋_GB2312" w:cs="仿宋_GB2312"/>
                  <w:szCs w:val="21"/>
                </w:rPr>
                <m:t>供水总量×0.8</m:t>
              </m:r>
              <m:ctrlPr>
                <w:rPr>
                  <w:rFonts w:hint="eastAsia" w:ascii="Cambria Math" w:hAnsi="Cambria Math" w:eastAsia="仿宋_GB2312" w:cs="仿宋_GB2312"/>
                  <w:szCs w:val="21"/>
                </w:rPr>
              </m:ctrlPr>
            </m:den>
          </m:f>
          <m:r>
            <m:rPr>
              <m:sty m:val="p"/>
            </m:rPr>
            <w:rPr>
              <w:rFonts w:hint="eastAsia" w:ascii="Cambria Math" w:hAnsi="Cambria Math" w:eastAsia="仿宋_GB2312" w:cs="仿宋_GB2312"/>
              <w:szCs w:val="21"/>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住房城乡建设、</w:t>
      </w:r>
      <w:r>
        <w:rPr>
          <w:rFonts w:hint="eastAsia" w:ascii="Times New Roman Regular" w:hAnsi="Times New Roman Regular" w:eastAsia="仿宋_GB2312" w:cs="Times New Roman Regular"/>
          <w:sz w:val="30"/>
          <w:szCs w:val="30"/>
          <w:lang w:val="zh-CN" w:bidi="en-US"/>
        </w:rPr>
        <w:t>水务、</w:t>
      </w:r>
      <w:r>
        <w:rPr>
          <w:rFonts w:ascii="Times New Roman Regular" w:hAnsi="Times New Roman Regular" w:eastAsia="仿宋_GB2312" w:cs="Times New Roman Regular"/>
          <w:sz w:val="30"/>
          <w:szCs w:val="30"/>
          <w:lang w:val="zh-CN" w:bidi="en-US"/>
        </w:rPr>
        <w:t>生态环境</w:t>
      </w:r>
      <w:r>
        <w:rPr>
          <w:rFonts w:hint="eastAsia" w:ascii="Times New Roman Regular" w:hAnsi="Times New Roman Regular" w:eastAsia="仿宋_GB2312" w:cs="Times New Roman Regular"/>
          <w:sz w:val="30"/>
          <w:szCs w:val="30"/>
          <w:lang w:val="zh-CN" w:bidi="en-US"/>
        </w:rPr>
        <w:t>、统计</w:t>
      </w:r>
      <w:r>
        <w:rPr>
          <w:rFonts w:ascii="Times New Roman Regular" w:hAnsi="Times New Roman Regular" w:eastAsia="仿宋_GB2312" w:cs="Times New Roman Regular"/>
          <w:sz w:val="30"/>
          <w:szCs w:val="30"/>
          <w:lang w:bidi="en-US"/>
        </w:rPr>
        <w:t>等</w:t>
      </w:r>
      <w:r>
        <w:rPr>
          <w:rFonts w:ascii="Times New Roman Regular" w:hAnsi="Times New Roman Regular" w:eastAsia="仿宋_GB2312" w:cs="Times New Roman Regular"/>
          <w:sz w:val="30"/>
          <w:szCs w:val="30"/>
          <w:lang w:val="zh-CN" w:bidi="en-US"/>
        </w:rPr>
        <w:t>部门。</w:t>
      </w:r>
    </w:p>
    <w:p>
      <w:pPr>
        <w:adjustRightInd w:val="0"/>
        <w:snapToGrid w:val="0"/>
        <w:spacing w:line="360" w:lineRule="auto"/>
        <w:ind w:firstLine="602" w:firstLineChars="200"/>
        <w:outlineLvl w:val="1"/>
        <w:rPr>
          <w:rFonts w:ascii="Times New Roman Regular" w:hAnsi="Times New Roman Regular" w:eastAsia="仿宋_GB2312" w:cs="Times New Roman Regular"/>
          <w:b/>
          <w:sz w:val="30"/>
          <w:szCs w:val="30"/>
        </w:rPr>
      </w:pPr>
      <w:r>
        <w:rPr>
          <w:rFonts w:hint="eastAsia" w:ascii="Times New Roman Regular" w:hAnsi="Times New Roman Regular" w:eastAsia="仿宋_GB2312" w:cs="Times New Roman Regular"/>
          <w:b/>
          <w:sz w:val="30"/>
          <w:szCs w:val="30"/>
        </w:rPr>
        <w:t>（2）乡镇生活污水处理设施覆盖率</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bidi="en-US"/>
        </w:rPr>
        <w:t>已具备乡</w:t>
      </w:r>
      <w:r>
        <w:rPr>
          <w:rFonts w:hint="eastAsia" w:ascii="Times New Roman Regular" w:hAnsi="Times New Roman Regular" w:eastAsia="仿宋_GB2312" w:cs="Times New Roman Regular"/>
          <w:sz w:val="30"/>
          <w:szCs w:val="30"/>
          <w:lang w:val="zh-CN" w:bidi="en-US"/>
        </w:rPr>
        <w:t>镇生活污水处理</w:t>
      </w:r>
      <w:r>
        <w:rPr>
          <w:rFonts w:hint="eastAsia" w:ascii="Times New Roman Regular" w:hAnsi="Times New Roman Regular" w:eastAsia="仿宋_GB2312" w:cs="Times New Roman Regular"/>
          <w:sz w:val="30"/>
          <w:szCs w:val="30"/>
          <w:lang w:bidi="en-US"/>
        </w:rPr>
        <w:t>能力的乡镇数</w:t>
      </w:r>
      <w:r>
        <w:rPr>
          <w:rFonts w:hint="eastAsia" w:ascii="Times New Roman Regular" w:hAnsi="Times New Roman Regular" w:eastAsia="仿宋_GB2312" w:cs="Times New Roman Regular"/>
          <w:sz w:val="30"/>
          <w:szCs w:val="30"/>
          <w:lang w:val="zh-CN" w:bidi="en-US"/>
        </w:rPr>
        <w:t>量</w:t>
      </w:r>
      <w:r>
        <w:rPr>
          <w:rFonts w:ascii="Times New Roman Regular" w:hAnsi="Times New Roman Regular" w:eastAsia="仿宋_GB2312" w:cs="Times New Roman Regular"/>
          <w:sz w:val="30"/>
          <w:szCs w:val="30"/>
          <w:lang w:val="zh-CN" w:bidi="en-US"/>
        </w:rPr>
        <w:t>占</w:t>
      </w:r>
      <w:r>
        <w:rPr>
          <w:rFonts w:hint="eastAsia" w:ascii="Times New Roman Regular" w:hAnsi="Times New Roman Regular" w:eastAsia="仿宋_GB2312" w:cs="Times New Roman Regular"/>
          <w:sz w:val="30"/>
          <w:szCs w:val="30"/>
          <w:lang w:bidi="en-US"/>
        </w:rPr>
        <w:t>辖区内乡镇数量的</w:t>
      </w:r>
      <w:r>
        <w:rPr>
          <w:rFonts w:ascii="Times New Roman Regular" w:hAnsi="Times New Roman Regular" w:eastAsia="仿宋_GB2312" w:cs="Times New Roman Regular"/>
          <w:sz w:val="30"/>
          <w:szCs w:val="30"/>
          <w:lang w:val="zh-CN" w:bidi="en-US"/>
        </w:rPr>
        <w:t>百分比。</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住房城乡建设</w:t>
      </w:r>
      <w:r>
        <w:rPr>
          <w:rFonts w:ascii="Times New Roman Regular" w:hAnsi="Times New Roman Regular" w:eastAsia="仿宋_GB2312" w:cs="Times New Roman Regular"/>
          <w:sz w:val="30"/>
          <w:szCs w:val="30"/>
          <w:lang w:bidi="en-US"/>
        </w:rPr>
        <w:t>、</w:t>
      </w:r>
      <w:r>
        <w:rPr>
          <w:rFonts w:hint="eastAsia" w:ascii="Times New Roman Regular" w:hAnsi="Times New Roman Regular" w:eastAsia="仿宋_GB2312" w:cs="Times New Roman Regular"/>
          <w:sz w:val="30"/>
          <w:szCs w:val="30"/>
          <w:lang w:val="zh-CN" w:bidi="en-US"/>
        </w:rPr>
        <w:t>水务、</w:t>
      </w:r>
      <w:r>
        <w:rPr>
          <w:rFonts w:ascii="Times New Roman Regular" w:hAnsi="Times New Roman Regular" w:eastAsia="仿宋_GB2312" w:cs="Times New Roman Regular"/>
          <w:sz w:val="30"/>
          <w:szCs w:val="30"/>
          <w:lang w:bidi="en-US"/>
        </w:rPr>
        <w:t>生态环境</w:t>
      </w:r>
      <w:r>
        <w:rPr>
          <w:rFonts w:hint="eastAsia" w:ascii="Times New Roman Regular" w:hAnsi="Times New Roman Regular" w:eastAsia="仿宋_GB2312" w:cs="Times New Roman Regular"/>
          <w:sz w:val="30"/>
          <w:szCs w:val="30"/>
          <w:lang w:bidi="en-US"/>
        </w:rPr>
        <w:t>、统计</w:t>
      </w:r>
      <w:r>
        <w:rPr>
          <w:rFonts w:ascii="Times New Roman Regular" w:hAnsi="Times New Roman Regular" w:eastAsia="仿宋_GB2312" w:cs="Times New Roman Regular"/>
          <w:sz w:val="30"/>
          <w:szCs w:val="30"/>
          <w:lang w:bidi="en-US"/>
        </w:rPr>
        <w:t>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8" w:name="_Toc134894727_WPSOffice_Level1"/>
      <w:r>
        <w:rPr>
          <w:rFonts w:ascii="Times New Roman Regular" w:hAnsi="Times New Roman Regular" w:eastAsia="仿宋_GB2312" w:cs="Times New Roman Regular"/>
          <w:b/>
          <w:sz w:val="30"/>
          <w:szCs w:val="30"/>
          <w:lang w:val="zh-CN" w:bidi="en-US"/>
        </w:rPr>
        <w:t>城镇生活垃圾无害化处理率</w:t>
      </w:r>
      <w:bookmarkEnd w:id="38"/>
      <w:r>
        <w:rPr>
          <w:rFonts w:hint="eastAsia" w:ascii="Times New Roman Regular" w:hAnsi="Times New Roman Regular" w:eastAsia="仿宋_GB2312" w:cs="Times New Roman Regular"/>
          <w:b/>
          <w:sz w:val="30"/>
          <w:szCs w:val="30"/>
          <w:lang w:val="zh-CN" w:bidi="en-US"/>
        </w:rPr>
        <w:t xml:space="preserve"> </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val="zh-CN" w:bidi="en-US"/>
        </w:rPr>
        <w:t>县城和建制镇</w:t>
      </w:r>
      <w:r>
        <w:rPr>
          <w:rFonts w:hint="eastAsia" w:ascii="Times New Roman Regular" w:hAnsi="Times New Roman Regular" w:eastAsia="仿宋_GB2312" w:cs="Times New Roman Regular"/>
          <w:sz w:val="30"/>
          <w:szCs w:val="30"/>
          <w:lang w:bidi="en-US"/>
        </w:rPr>
        <w:t>的</w:t>
      </w:r>
      <w:r>
        <w:rPr>
          <w:rFonts w:ascii="Times New Roman Regular" w:hAnsi="Times New Roman Regular" w:eastAsia="仿宋_GB2312" w:cs="Times New Roman Regular"/>
          <w:sz w:val="30"/>
          <w:szCs w:val="30"/>
          <w:lang w:val="zh-CN" w:bidi="en-US"/>
        </w:rPr>
        <w:t>建成区内生活垃圾无害化处理量占垃圾产生量的比值。</w:t>
      </w:r>
      <w:r>
        <w:rPr>
          <w:rFonts w:hint="eastAsia" w:ascii="Times New Roman Regular" w:hAnsi="Times New Roman Regular" w:eastAsia="仿宋_GB2312" w:cs="Times New Roman Regular"/>
          <w:sz w:val="30"/>
          <w:szCs w:val="30"/>
          <w:lang w:val="zh-CN" w:bidi="en-US"/>
        </w:rPr>
        <w:t>生活垃圾产生量以县城每人每天产生1kg、建制镇每人每天产生0.8kg计</w:t>
      </w:r>
      <w:r>
        <w:rPr>
          <w:rFonts w:ascii="Times New Roman Regular" w:hAnsi="Times New Roman Regular" w:eastAsia="仿宋_GB2312" w:cs="Times New Roman Regular"/>
          <w:sz w:val="30"/>
          <w:szCs w:val="30"/>
          <w:lang w:bidi="en-US"/>
        </w:rPr>
        <w:t>，遵循“减量化、资源化、无害化”原则，按照“户分类、村收集、镇转运、县处理”的基本模式统筹推进城镇生活垃圾无害化处理工作。</w:t>
      </w:r>
      <w:r>
        <w:rPr>
          <w:rFonts w:hint="eastAsia" w:ascii="Times New Roman Regular" w:hAnsi="Times New Roman Regular" w:eastAsia="仿宋_GB2312" w:cs="Times New Roman Regular"/>
          <w:sz w:val="30"/>
          <w:szCs w:val="30"/>
          <w:lang w:val="zh-CN" w:bidi="en-US"/>
        </w:rPr>
        <w:t>其他</w:t>
      </w:r>
      <w:r>
        <w:rPr>
          <w:rFonts w:ascii="Times New Roman Regular" w:hAnsi="Times New Roman Regular" w:eastAsia="仿宋_GB2312" w:cs="Times New Roman Regular"/>
          <w:sz w:val="30"/>
          <w:szCs w:val="30"/>
          <w:lang w:val="zh-CN" w:bidi="en-US"/>
        </w:rPr>
        <w:t>有关</w:t>
      </w:r>
      <w:r>
        <w:rPr>
          <w:rFonts w:hint="eastAsia" w:ascii="Times New Roman Regular" w:hAnsi="Times New Roman Regular" w:eastAsia="仿宋_GB2312" w:cs="Times New Roman Regular"/>
          <w:sz w:val="30"/>
          <w:szCs w:val="30"/>
          <w:lang w:val="zh-CN" w:bidi="en-US"/>
        </w:rPr>
        <w:t>处理</w:t>
      </w:r>
      <w:r>
        <w:rPr>
          <w:rFonts w:ascii="Times New Roman Regular" w:hAnsi="Times New Roman Regular" w:eastAsia="仿宋_GB2312" w:cs="Times New Roman Regular"/>
          <w:sz w:val="30"/>
          <w:szCs w:val="30"/>
          <w:lang w:val="zh-CN" w:bidi="en-US"/>
        </w:rPr>
        <w:t>标准参照《生活垃圾焚烧污染控制标准》（GB18485-2014）和《生活垃圾填埋污染控制标准》（GB16889-2008）执行。</w:t>
      </w:r>
    </w:p>
    <w:p>
      <w:pPr>
        <w:rPr>
          <w:rFonts w:hint="eastAsia" w:ascii="Cambria Math" w:hAnsi="Cambria Math" w:eastAsia="仿宋"/>
          <w:sz w:val="24"/>
          <w:szCs w:val="44"/>
        </w:rPr>
      </w:pPr>
      <m:oMathPara>
        <m:oMath>
          <m:r>
            <m:rPr>
              <m:sty m:val="p"/>
            </m:rPr>
            <w:rPr>
              <w:rFonts w:ascii="Cambria Math" w:hAnsi="Cambria Math" w:eastAsia="仿宋"/>
              <w:sz w:val="24"/>
              <w:szCs w:val="44"/>
            </w:rPr>
            <m:t>城镇生活垃圾无害化处理率=</m:t>
          </m:r>
          <m:f>
            <m:fPr>
              <m:ctrlPr>
                <w:rPr>
                  <w:rFonts w:ascii="Cambria Math" w:hAnsi="Cambria Math" w:eastAsia="仿宋"/>
                  <w:sz w:val="24"/>
                  <w:szCs w:val="44"/>
                </w:rPr>
              </m:ctrlPr>
            </m:fPr>
            <m:num>
              <m:r>
                <m:rPr>
                  <m:sty m:val="p"/>
                </m:rPr>
                <w:rPr>
                  <w:rFonts w:ascii="Cambria Math" w:hAnsi="Cambria Math" w:eastAsia="仿宋"/>
                  <w:sz w:val="24"/>
                  <w:szCs w:val="44"/>
                </w:rPr>
                <m:t>生活垃圾无害化处理量（吨）</m:t>
              </m:r>
              <m:ctrlPr>
                <w:rPr>
                  <w:rFonts w:ascii="Cambria Math" w:hAnsi="Cambria Math" w:eastAsia="仿宋"/>
                  <w:sz w:val="24"/>
                  <w:szCs w:val="44"/>
                </w:rPr>
              </m:ctrlPr>
            </m:num>
            <m:den>
              <m:r>
                <m:rPr>
                  <m:sty m:val="p"/>
                </m:rPr>
                <w:rPr>
                  <w:rFonts w:ascii="Cambria Math" w:hAnsi="Cambria Math" w:eastAsia="仿宋"/>
                  <w:sz w:val="24"/>
                  <w:szCs w:val="44"/>
                </w:rPr>
                <m:t>城镇生活垃圾产生量（吨）</m:t>
              </m:r>
              <m:ctrlPr>
                <w:rPr>
                  <w:rFonts w:ascii="Cambria Math" w:hAnsi="Cambria Math" w:eastAsia="仿宋"/>
                  <w:sz w:val="24"/>
                  <w:szCs w:val="44"/>
                </w:rPr>
              </m:ctrlPr>
            </m:den>
          </m:f>
          <m:r>
            <m:rPr>
              <m:sty m:val="p"/>
            </m:rPr>
            <w:rPr>
              <w:rFonts w:ascii="Cambria Math" w:hAnsi="Cambria Math" w:eastAsia="仿宋"/>
              <w:sz w:val="24"/>
              <w:szCs w:val="44"/>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住房城乡建设、生态环境</w:t>
      </w:r>
      <w:r>
        <w:rPr>
          <w:rFonts w:hint="eastAsia" w:ascii="Times New Roman Regular" w:hAnsi="Times New Roman Regular" w:eastAsia="仿宋_GB2312" w:cs="Times New Roman Regular"/>
          <w:sz w:val="30"/>
          <w:szCs w:val="30"/>
          <w:lang w:val="zh-CN" w:bidi="en-US"/>
        </w:rPr>
        <w:t>、统计</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39" w:name="_Toc1580429104_WPSOffice_Level1"/>
      <w:r>
        <w:rPr>
          <w:rFonts w:ascii="Times New Roman Regular" w:hAnsi="Times New Roman Regular" w:eastAsia="仿宋_GB2312" w:cs="Times New Roman Regular"/>
          <w:b/>
          <w:sz w:val="30"/>
          <w:szCs w:val="30"/>
          <w:lang w:val="zh-CN" w:bidi="en-US"/>
        </w:rPr>
        <w:t>农村卫生厕所普及率</w:t>
      </w:r>
      <w:bookmarkEnd w:id="39"/>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指使用卫生厕所的农户数占同期行政区域内农户总数的比例。</w:t>
      </w:r>
    </w:p>
    <w:p>
      <w:pPr>
        <w:adjustRightInd w:val="0"/>
        <w:snapToGrid w:val="0"/>
        <w:spacing w:line="348" w:lineRule="auto"/>
        <w:ind w:firstLine="600" w:firstLineChars="200"/>
        <w:rPr>
          <w:rFonts w:ascii="Times New Roman Regular" w:hAnsi="Times New Roman Regular" w:eastAsia="仿宋_GB2312" w:cs="Times New Roman Regular"/>
          <w:sz w:val="30"/>
          <w:szCs w:val="30"/>
          <w:lang w:val="zh-CN" w:bidi="en-US"/>
        </w:rPr>
      </w:pPr>
      <w:r>
        <w:rPr>
          <w:rFonts w:hint="eastAsia" w:ascii="Times New Roman Regular" w:hAnsi="Times New Roman Regular" w:eastAsia="仿宋_GB2312" w:cs="Times New Roman Regular"/>
          <w:sz w:val="30"/>
          <w:szCs w:val="30"/>
          <w:lang w:val="zh-CN" w:bidi="en-US"/>
        </w:rPr>
        <w:t>根据</w:t>
      </w:r>
      <w:r>
        <w:rPr>
          <w:rFonts w:ascii="Times New Roman Regular" w:hAnsi="Times New Roman Regular" w:eastAsia="仿宋_GB2312" w:cs="Times New Roman Regular"/>
          <w:sz w:val="30"/>
          <w:szCs w:val="30"/>
          <w:lang w:val="zh-CN" w:bidi="en-US"/>
        </w:rPr>
        <w:t>《</w:t>
      </w:r>
      <w:r>
        <w:rPr>
          <w:rFonts w:hint="eastAsia" w:ascii="Times New Roman Regular" w:hAnsi="Times New Roman Regular" w:eastAsia="仿宋_GB2312" w:cs="Times New Roman Regular"/>
          <w:sz w:val="30"/>
          <w:szCs w:val="30"/>
          <w:lang w:val="zh-CN" w:bidi="en-US"/>
        </w:rPr>
        <w:t>全国爱卫办</w:t>
      </w:r>
      <w:r>
        <w:rPr>
          <w:rFonts w:ascii="Times New Roman Regular" w:hAnsi="Times New Roman Regular" w:eastAsia="仿宋_GB2312" w:cs="Times New Roman Regular"/>
          <w:sz w:val="30"/>
          <w:szCs w:val="30"/>
          <w:lang w:val="zh-CN" w:bidi="en-US"/>
        </w:rPr>
        <w:t>关于进一步推进农村户厕建设的通知》</w:t>
      </w:r>
      <w:r>
        <w:rPr>
          <w:rFonts w:hint="eastAsia" w:ascii="Times New Roman Regular" w:hAnsi="Times New Roman Regular" w:eastAsia="仿宋_GB2312" w:cs="Times New Roman Regular"/>
          <w:sz w:val="30"/>
          <w:szCs w:val="30"/>
          <w:lang w:val="zh-CN" w:bidi="en-US"/>
        </w:rPr>
        <w:t>，卫生厕所指</w:t>
      </w:r>
      <w:r>
        <w:rPr>
          <w:rFonts w:ascii="Times New Roman Regular" w:hAnsi="Times New Roman Regular" w:eastAsia="仿宋_GB2312" w:cs="Times New Roman Regular"/>
          <w:sz w:val="30"/>
          <w:szCs w:val="30"/>
          <w:lang w:val="zh-CN" w:bidi="en-US"/>
        </w:rPr>
        <w:t>厕屋（有墙、有顶）清洁、无蝇蛆、无臭，贮粪池不渗、不漏、密闭有盖，适时清出粪便并进行无害化处理</w:t>
      </w:r>
      <w:r>
        <w:rPr>
          <w:rFonts w:hint="eastAsia" w:ascii="Times New Roman Regular" w:hAnsi="Times New Roman Regular" w:eastAsia="仿宋_GB2312" w:cs="Times New Roman Regular"/>
          <w:sz w:val="30"/>
          <w:szCs w:val="30"/>
          <w:lang w:val="zh-CN" w:bidi="en-US"/>
        </w:rPr>
        <w:t>；</w:t>
      </w:r>
      <w:r>
        <w:rPr>
          <w:rFonts w:ascii="Times New Roman Regular" w:hAnsi="Times New Roman Regular" w:eastAsia="仿宋_GB2312" w:cs="Times New Roman Regular"/>
          <w:sz w:val="30"/>
          <w:szCs w:val="30"/>
          <w:lang w:val="zh-CN" w:bidi="en-US"/>
        </w:rPr>
        <w:t>无害化卫生厕所指按规范建设，具备有效降低粪便中生物性致病因子传染性设施的卫生厕所，包括三格化粪池厕所、双瓮漏斗式厕所、三联通式沼气池厕所、粪尿分集式厕所、双坑交替式厕所和具有完整上下水道系统及污水处理设施的水冲式厕所等。</w:t>
      </w:r>
    </w:p>
    <w:p>
      <w:pPr>
        <w:rPr>
          <w:rFonts w:hint="eastAsia" w:ascii="Cambria Math" w:hAnsi="Cambria Math" w:eastAsia="仿宋"/>
          <w:sz w:val="24"/>
          <w:szCs w:val="24"/>
        </w:rPr>
      </w:pPr>
      <m:oMathPara>
        <m:oMath>
          <m:r>
            <m:rPr>
              <m:sty m:val="p"/>
            </m:rPr>
            <w:rPr>
              <w:rFonts w:hint="eastAsia" w:ascii="Cambria Math" w:hAnsi="Cambria Math" w:eastAsia="仿宋"/>
              <w:sz w:val="24"/>
              <w:szCs w:val="24"/>
            </w:rPr>
            <m:t>农村卫生厕所普及率=</m:t>
          </m:r>
          <m:f>
            <m:fPr>
              <m:ctrlPr>
                <w:rPr>
                  <w:rFonts w:ascii="Cambria Math" w:hAnsi="Cambria Math" w:eastAsia="仿宋"/>
                  <w:sz w:val="24"/>
                  <w:szCs w:val="24"/>
                </w:rPr>
              </m:ctrlPr>
            </m:fPr>
            <m:num>
              <m:r>
                <m:rPr>
                  <m:sty m:val="p"/>
                </m:rPr>
                <w:rPr>
                  <w:rFonts w:hint="eastAsia" w:ascii="Cambria Math" w:hAnsi="Cambria Math" w:eastAsia="仿宋"/>
                  <w:sz w:val="24"/>
                  <w:szCs w:val="24"/>
                </w:rPr>
                <m:t>使用卫生厕所的农户数（户）</m:t>
              </m:r>
              <m:ctrlPr>
                <w:rPr>
                  <w:rFonts w:ascii="Cambria Math" w:hAnsi="Cambria Math" w:eastAsia="仿宋"/>
                  <w:sz w:val="24"/>
                  <w:szCs w:val="24"/>
                </w:rPr>
              </m:ctrlPr>
            </m:num>
            <m:den>
              <m:r>
                <m:rPr>
                  <m:sty m:val="p"/>
                </m:rPr>
                <w:rPr>
                  <w:rFonts w:hint="eastAsia" w:ascii="Cambria Math" w:hAnsi="Cambria Math" w:eastAsia="仿宋"/>
                  <w:sz w:val="24"/>
                  <w:szCs w:val="24"/>
                </w:rPr>
                <m:t>农户总数（户）</m:t>
              </m:r>
              <m:ctrlPr>
                <w:rPr>
                  <w:rFonts w:ascii="Cambria Math" w:hAnsi="Cambria Math" w:eastAsia="仿宋"/>
                  <w:sz w:val="24"/>
                  <w:szCs w:val="24"/>
                </w:rPr>
              </m:ctrlPr>
            </m:den>
          </m:f>
          <m:r>
            <m:rPr>
              <m:sty m:val="p"/>
            </m:rPr>
            <w:rPr>
              <w:rFonts w:hint="eastAsia" w:ascii="Cambria Math" w:hAnsi="Cambria Math" w:eastAsia="仿宋"/>
              <w:sz w:val="24"/>
              <w:szCs w:val="24"/>
            </w:rPr>
            <m:t>×100%</m:t>
          </m:r>
        </m:oMath>
      </m:oMathPara>
    </w:p>
    <w:p>
      <w:pPr>
        <w:adjustRightInd w:val="0"/>
        <w:snapToGrid w:val="0"/>
        <w:spacing w:line="348" w:lineRule="auto"/>
        <w:ind w:firstLine="602" w:firstLineChars="200"/>
        <w:rPr>
          <w:rFonts w:ascii="Times New Roman Regular" w:hAnsi="Times New Roman Regular" w:eastAsia="仿宋" w:cs="Times New Roman Regular"/>
          <w:sz w:val="28"/>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农业农村、卫生健康</w:t>
      </w:r>
      <w:r>
        <w:rPr>
          <w:rFonts w:hint="eastAsia" w:ascii="Times New Roman Regular" w:hAnsi="Times New Roman Regular" w:eastAsia="仿宋_GB2312" w:cs="Times New Roman Regular"/>
          <w:sz w:val="30"/>
          <w:szCs w:val="30"/>
          <w:lang w:val="zh-CN" w:bidi="en-US"/>
        </w:rPr>
        <w:t>、住房城乡建设等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40" w:name="_Toc46721185_WPSOffice_Level1"/>
      <w:r>
        <w:rPr>
          <w:rFonts w:ascii="Times New Roman Regular" w:hAnsi="Times New Roman Regular" w:eastAsia="仿宋_GB2312" w:cs="Times New Roman Regular"/>
          <w:b/>
          <w:sz w:val="30"/>
          <w:szCs w:val="30"/>
          <w:lang w:val="zh-CN" w:bidi="en-US"/>
        </w:rPr>
        <w:t>城镇新建绿色建筑比例</w:t>
      </w:r>
      <w:bookmarkEnd w:id="40"/>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城镇建成区内达到《绿色建筑评价标准》（GB/T50378-2019）的新建绿色建筑面积占新建建筑总面积的比例。绿色建筑指在全寿命期内，节约资源、保护环境、减少污染，为人们提供健康、适用、高效的适用空间，最大限度地实现人与自然和谐共生的高质量建筑。</w:t>
      </w:r>
    </w:p>
    <w:p>
      <w:pPr>
        <w:rPr>
          <w:rFonts w:ascii="Times New Roman Regular" w:hAnsi="Times New Roman Regular" w:eastAsia="仿宋_GB2312" w:cs="Times New Roman Regular"/>
          <w:sz w:val="24"/>
          <w:szCs w:val="24"/>
          <w:lang w:val="zh-CN" w:bidi="en-US"/>
        </w:rPr>
      </w:pPr>
      <m:oMathPara>
        <m:oMath>
          <m:r>
            <m:rPr>
              <m:sty m:val="p"/>
            </m:rPr>
            <w:rPr>
              <w:rFonts w:hint="eastAsia" w:ascii="Cambria Math" w:hAnsi="Cambria Math" w:eastAsia="仿宋_GB2312" w:cs="仿宋_GB2312"/>
              <w:sz w:val="24"/>
              <w:szCs w:val="24"/>
            </w:rPr>
            <m:t>城镇新建绿色建筑比例=</m:t>
          </m:r>
          <m:f>
            <m:fPr>
              <m:ctrlPr>
                <w:rPr>
                  <w:rFonts w:hint="eastAsia" w:ascii="Cambria Math" w:hAnsi="Cambria Math" w:eastAsia="仿宋_GB2312" w:cs="仿宋_GB2312"/>
                  <w:sz w:val="24"/>
                  <w:szCs w:val="24"/>
                </w:rPr>
              </m:ctrlPr>
            </m:fPr>
            <m:num>
              <m:r>
                <m:rPr>
                  <m:sty m:val="p"/>
                </m:rPr>
                <w:rPr>
                  <w:rFonts w:hint="eastAsia" w:ascii="Cambria Math" w:hAnsi="Cambria Math" w:eastAsia="仿宋_GB2312" w:cs="仿宋_GB2312"/>
                  <w:sz w:val="24"/>
                  <w:szCs w:val="24"/>
                </w:rPr>
                <m:t>新建绿色建筑面积（万平方米）</m:t>
              </m:r>
              <m:ctrlPr>
                <w:rPr>
                  <w:rFonts w:hint="eastAsia" w:ascii="Cambria Math" w:hAnsi="Cambria Math" w:eastAsia="仿宋_GB2312" w:cs="仿宋_GB2312"/>
                  <w:sz w:val="24"/>
                  <w:szCs w:val="24"/>
                </w:rPr>
              </m:ctrlPr>
            </m:num>
            <m:den>
              <m:r>
                <m:rPr>
                  <m:sty m:val="p"/>
                </m:rPr>
                <w:rPr>
                  <w:rFonts w:hint="eastAsia" w:ascii="Cambria Math" w:hAnsi="Cambria Math" w:eastAsia="仿宋_GB2312" w:cs="仿宋_GB2312"/>
                  <w:sz w:val="24"/>
                  <w:szCs w:val="24"/>
                </w:rPr>
                <m:t>城镇新建建筑总面积（万平方米）</m:t>
              </m:r>
              <m:ctrlPr>
                <w:rPr>
                  <w:rFonts w:hint="eastAsia" w:ascii="Cambria Math" w:hAnsi="Cambria Math" w:eastAsia="仿宋_GB2312" w:cs="仿宋_GB2312"/>
                  <w:sz w:val="24"/>
                  <w:szCs w:val="24"/>
                </w:rPr>
              </m:ctrlPr>
            </m:den>
          </m:f>
          <m:r>
            <m:rPr>
              <m:sty m:val="p"/>
            </m:rPr>
            <w:rPr>
              <w:rFonts w:hint="eastAsia" w:ascii="Cambria Math" w:hAnsi="Cambria Math" w:eastAsia="仿宋_GB2312" w:cs="仿宋_GB2312"/>
              <w:sz w:val="24"/>
              <w:szCs w:val="24"/>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住房城乡建设、统计等部门。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41" w:name="_Toc1411425140_WPSOffice_Level1"/>
      <w:r>
        <w:rPr>
          <w:rFonts w:ascii="Times New Roman Regular" w:hAnsi="Times New Roman Regular" w:eastAsia="仿宋_GB2312" w:cs="Times New Roman Regular"/>
          <w:b/>
          <w:sz w:val="30"/>
          <w:szCs w:val="30"/>
          <w:lang w:val="zh-CN" w:bidi="en-US"/>
        </w:rPr>
        <w:t>城镇生活垃圾分类减量化行动</w:t>
      </w:r>
      <w:bookmarkEnd w:id="41"/>
    </w:p>
    <w:p>
      <w:pPr>
        <w:spacing w:line="360"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按一定规定或标准将垃圾分类投放、分类收集、分类运输和分类处理，提高回收利用率，实现垃圾减量化、无害化以及资源化。依据《关于加快推进部分重点城市生活垃圾分类工作的通知》（建城〔2017〕253号）</w:t>
      </w:r>
      <w:r>
        <w:rPr>
          <w:rFonts w:hint="eastAsia" w:ascii="Times New Roman Regular" w:hAnsi="Times New Roman Regular" w:eastAsia="仿宋_GB2312" w:cs="Times New Roman Regular"/>
          <w:sz w:val="30"/>
          <w:szCs w:val="30"/>
          <w:lang w:bidi="en-US"/>
        </w:rPr>
        <w:t>及《贵州省生态文明建设领导小组办公室关于全面推进我省生活垃圾分类工作的通知》（黔生态办发</w:t>
      </w:r>
      <w:r>
        <w:rPr>
          <w:rFonts w:ascii="Times New Roman Regular" w:hAnsi="Times New Roman Regular" w:eastAsia="仿宋_GB2312" w:cs="Times New Roman Regular"/>
          <w:sz w:val="30"/>
          <w:szCs w:val="30"/>
          <w:lang w:val="zh-CN" w:bidi="en-US"/>
        </w:rPr>
        <w:t>〔201</w:t>
      </w:r>
      <w:r>
        <w:rPr>
          <w:rFonts w:hint="eastAsia" w:ascii="Times New Roman Regular" w:hAnsi="Times New Roman Regular" w:eastAsia="仿宋_GB2312" w:cs="Times New Roman Regular"/>
          <w:sz w:val="30"/>
          <w:szCs w:val="30"/>
          <w:lang w:bidi="en-US"/>
        </w:rPr>
        <w:t>9</w:t>
      </w:r>
      <w:r>
        <w:rPr>
          <w:rFonts w:ascii="Times New Roman Regular" w:hAnsi="Times New Roman Regular" w:eastAsia="仿宋_GB2312" w:cs="Times New Roman Regular"/>
          <w:sz w:val="30"/>
          <w:szCs w:val="30"/>
          <w:lang w:val="zh-CN" w:bidi="en-US"/>
        </w:rPr>
        <w:t>〕</w:t>
      </w:r>
      <w:r>
        <w:rPr>
          <w:rFonts w:hint="eastAsia" w:ascii="Times New Roman Regular" w:hAnsi="Times New Roman Regular" w:eastAsia="仿宋_GB2312" w:cs="Times New Roman Regular"/>
          <w:sz w:val="30"/>
          <w:szCs w:val="30"/>
          <w:lang w:bidi="en-US"/>
        </w:rPr>
        <w:t>1号）</w:t>
      </w:r>
      <w:r>
        <w:rPr>
          <w:rFonts w:hint="eastAsia" w:ascii="Times New Roman Regular" w:hAnsi="Times New Roman Regular" w:eastAsia="仿宋_GB2312" w:cs="Times New Roman Regular"/>
          <w:sz w:val="30"/>
          <w:szCs w:val="30"/>
          <w:lang w:val="zh-CN" w:bidi="en-US"/>
        </w:rPr>
        <w:t>等要求，推进本地生活垃圾分类及减量化工作</w:t>
      </w:r>
      <w:r>
        <w:rPr>
          <w:rFonts w:ascii="Times New Roman Regular" w:hAnsi="Times New Roman Regular" w:eastAsia="仿宋_GB2312" w:cs="Times New Roman Regular"/>
          <w:sz w:val="30"/>
          <w:szCs w:val="30"/>
          <w:lang w:val="zh-CN" w:bidi="en-US"/>
        </w:rPr>
        <w:t>。</w:t>
      </w:r>
    </w:p>
    <w:p>
      <w:pPr>
        <w:spacing w:line="360"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住房城乡建设、</w:t>
      </w:r>
      <w:r>
        <w:rPr>
          <w:rFonts w:hint="eastAsia" w:ascii="Times New Roman Regular" w:hAnsi="Times New Roman Regular" w:eastAsia="仿宋_GB2312" w:cs="Times New Roman Regular"/>
          <w:sz w:val="30"/>
          <w:szCs w:val="30"/>
          <w:lang w:bidi="en-US"/>
        </w:rPr>
        <w:t>发展改革</w:t>
      </w:r>
      <w:r>
        <w:rPr>
          <w:rFonts w:ascii="Times New Roman Regular" w:hAnsi="Times New Roman Regular" w:eastAsia="仿宋_GB2312" w:cs="Times New Roman Regular"/>
          <w:sz w:val="30"/>
          <w:szCs w:val="30"/>
          <w:lang w:val="zh-CN" w:bidi="en-US"/>
        </w:rPr>
        <w:t>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42" w:name="_Toc717963218_WPSOffice_Level1"/>
      <w:r>
        <w:rPr>
          <w:rFonts w:ascii="Times New Roman Regular" w:hAnsi="Times New Roman Regular" w:eastAsia="仿宋_GB2312" w:cs="Times New Roman Regular"/>
          <w:b/>
          <w:sz w:val="30"/>
          <w:szCs w:val="30"/>
          <w:lang w:val="zh-CN" w:bidi="en-US"/>
        </w:rPr>
        <w:t>政府绿色采购比例</w:t>
      </w:r>
      <w:bookmarkEnd w:id="42"/>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hint="eastAsia" w:ascii="Times New Roman Regular" w:hAnsi="Times New Roman Regular" w:eastAsia="仿宋_GB2312" w:cs="Times New Roman Regular"/>
          <w:b/>
          <w:bCs/>
          <w:sz w:val="30"/>
          <w:szCs w:val="30"/>
          <w:lang w:val="zh-CN" w:bidi="en-US"/>
        </w:rPr>
        <w:t>指标解释：</w:t>
      </w:r>
      <w:r>
        <w:rPr>
          <w:rFonts w:hint="eastAsia" w:ascii="Times New Roman Regular" w:hAnsi="Times New Roman Regular" w:eastAsia="仿宋_GB2312" w:cs="Times New Roman Regular"/>
          <w:sz w:val="30"/>
          <w:szCs w:val="30"/>
          <w:lang w:val="zh-CN" w:bidi="en-US"/>
        </w:rPr>
        <w:t>指行政区域内政府采购有利于绿色、循环和低碳发展的产品规模占同类产品政府采购规模的比例。采购要求按照《关于调整优化节能产品、环境标志产品政府采购执行机制的通知》（财库〔2019〕9号）执行。</w:t>
      </w:r>
    </w:p>
    <w:p>
      <w:pPr>
        <w:rPr>
          <w:rFonts w:ascii="仿宋_GB2312" w:hAnsi="仿宋_GB2312" w:eastAsia="仿宋_GB2312" w:cs="仿宋_GB2312"/>
          <w:sz w:val="24"/>
          <w:szCs w:val="24"/>
          <w:lang w:val="zh-CN" w:bidi="en-US"/>
        </w:rPr>
      </w:pPr>
      <m:oMathPara>
        <m:oMath>
          <m:r>
            <m:rPr>
              <m:sty m:val="p"/>
            </m:rPr>
            <w:rPr>
              <w:rFonts w:hint="eastAsia" w:ascii="Cambria Math" w:hAnsi="Cambria Math" w:eastAsia="仿宋_GB2312" w:cs="仿宋_GB2312"/>
              <w:sz w:val="24"/>
              <w:szCs w:val="24"/>
            </w:rPr>
            <m:t>政府绿色采购比例=</m:t>
          </m:r>
          <m:f>
            <m:fPr>
              <m:ctrlPr>
                <w:rPr>
                  <w:rFonts w:hint="eastAsia" w:ascii="Cambria Math" w:hAnsi="Cambria Math" w:eastAsia="仿宋_GB2312" w:cs="仿宋_GB2312"/>
                  <w:sz w:val="24"/>
                  <w:szCs w:val="24"/>
                </w:rPr>
              </m:ctrlPr>
            </m:fPr>
            <m:num>
              <m:r>
                <m:rPr>
                  <m:sty m:val="p"/>
                </m:rPr>
                <w:rPr>
                  <w:rFonts w:hint="eastAsia" w:ascii="Cambria Math" w:hAnsi="Cambria Math" w:eastAsia="仿宋_GB2312" w:cs="仿宋_GB2312"/>
                  <w:sz w:val="24"/>
                  <w:szCs w:val="24"/>
                </w:rPr>
                <m:t>政府绿色采购规模（万元）</m:t>
              </m:r>
              <m:ctrlPr>
                <w:rPr>
                  <w:rFonts w:hint="eastAsia" w:ascii="Cambria Math" w:hAnsi="Cambria Math" w:eastAsia="仿宋_GB2312" w:cs="仿宋_GB2312"/>
                  <w:sz w:val="24"/>
                  <w:szCs w:val="24"/>
                </w:rPr>
              </m:ctrlPr>
            </m:num>
            <m:den>
              <m:r>
                <m:rPr>
                  <m:sty m:val="p"/>
                </m:rPr>
                <w:rPr>
                  <w:rFonts w:hint="eastAsia" w:ascii="Cambria Math" w:hAnsi="Cambria Math" w:eastAsia="仿宋_GB2312" w:cs="仿宋_GB2312"/>
                  <w:sz w:val="24"/>
                  <w:szCs w:val="24"/>
                </w:rPr>
                <m:t>同类产品政府采购规模（万元）</m:t>
              </m:r>
              <m:ctrlPr>
                <w:rPr>
                  <w:rFonts w:hint="eastAsia" w:ascii="Cambria Math" w:hAnsi="Cambria Math" w:eastAsia="仿宋_GB2312" w:cs="仿宋_GB2312"/>
                  <w:sz w:val="24"/>
                  <w:szCs w:val="24"/>
                </w:rPr>
              </m:ctrlPr>
            </m:den>
          </m:f>
          <m:r>
            <m:rPr>
              <m:sty m:val="p"/>
            </m:rPr>
            <w:rPr>
              <w:rFonts w:hint="eastAsia" w:ascii="Cambria Math" w:hAnsi="Cambria Math" w:eastAsia="仿宋_GB2312" w:cs="仿宋_GB2312"/>
              <w:sz w:val="24"/>
              <w:szCs w:val="24"/>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财政、统计等部门。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43" w:name="_Toc97192433_WPSOffice_Level1"/>
      <w:r>
        <w:rPr>
          <w:rFonts w:ascii="Times New Roman Regular" w:hAnsi="Times New Roman Regular" w:eastAsia="仿宋_GB2312" w:cs="Times New Roman Regular"/>
          <w:b/>
          <w:sz w:val="30"/>
          <w:szCs w:val="30"/>
          <w:lang w:val="zh-CN" w:bidi="en-US"/>
        </w:rPr>
        <w:t>党政领导干部参加生态文明培训的人数比例</w:t>
      </w:r>
      <w:bookmarkEnd w:id="43"/>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w:t>
      </w:r>
      <w:r>
        <w:rPr>
          <w:rFonts w:hint="eastAsia" w:ascii="Times New Roman Regular" w:hAnsi="Times New Roman Regular" w:eastAsia="仿宋_GB2312" w:cs="Times New Roman Regular"/>
          <w:sz w:val="30"/>
          <w:szCs w:val="30"/>
          <w:lang w:val="zh-CN" w:bidi="en-US"/>
        </w:rPr>
        <w:t>县域</w:t>
      </w:r>
      <w:r>
        <w:rPr>
          <w:rFonts w:ascii="Times New Roman Regular" w:hAnsi="Times New Roman Regular" w:eastAsia="仿宋_GB2312" w:cs="Times New Roman Regular"/>
          <w:sz w:val="30"/>
          <w:szCs w:val="30"/>
          <w:lang w:val="zh-CN" w:bidi="en-US"/>
        </w:rPr>
        <w:t>行政区域内副科级以上在职党政领导干部参加组织部门认可的生态文明专题培训、辅导报告、网络培训等的人数占副科级以上党政领导干部总人数的比例。</w:t>
      </w:r>
    </w:p>
    <w:p>
      <w:pPr>
        <w:rPr>
          <w:rFonts w:ascii="Times New Roman Regular" w:hAnsi="Times New Roman Regular" w:eastAsia="仿宋_GB2312" w:cs="Times New Roman Regular"/>
          <w:sz w:val="22"/>
          <w:lang w:val="zh-CN" w:bidi="en-US"/>
        </w:rPr>
      </w:pPr>
      <m:oMathPara>
        <m:oMath>
          <m:r>
            <m:rPr>
              <m:sty m:val="p"/>
            </m:rPr>
            <w:rPr>
              <w:rFonts w:hint="eastAsia" w:ascii="Cambria Math" w:hAnsi="Cambria Math" w:eastAsia="仿宋_GB2312" w:cs="仿宋_GB2312"/>
              <w:sz w:val="18"/>
              <w:szCs w:val="18"/>
            </w:rPr>
            <m:t>党政领导干部参加生态文明培训的人数比例=</m:t>
          </m:r>
          <m:f>
            <m:fPr>
              <m:ctrlPr>
                <w:rPr>
                  <w:rFonts w:hint="eastAsia" w:ascii="Cambria Math" w:hAnsi="Cambria Math" w:eastAsia="仿宋_GB2312" w:cs="仿宋_GB2312"/>
                  <w:sz w:val="18"/>
                  <w:szCs w:val="18"/>
                </w:rPr>
              </m:ctrlPr>
            </m:fPr>
            <m:num>
              <m:r>
                <m:rPr>
                  <m:sty m:val="p"/>
                </m:rPr>
                <w:rPr>
                  <w:rFonts w:hint="eastAsia" w:ascii="Cambria Math" w:hAnsi="Cambria Math" w:eastAsia="仿宋_GB2312" w:cs="仿宋_GB2312"/>
                  <w:sz w:val="18"/>
                  <w:szCs w:val="18"/>
                </w:rPr>
                <m:t>副科级以上干部参加生态文明培训的人数</m:t>
              </m:r>
              <m:ctrlPr>
                <w:rPr>
                  <w:rFonts w:hint="eastAsia" w:ascii="Cambria Math" w:hAnsi="Cambria Math" w:eastAsia="仿宋_GB2312" w:cs="仿宋_GB2312"/>
                  <w:sz w:val="18"/>
                  <w:szCs w:val="18"/>
                </w:rPr>
              </m:ctrlPr>
            </m:num>
            <m:den>
              <m:r>
                <m:rPr>
                  <m:sty m:val="p"/>
                </m:rPr>
                <w:rPr>
                  <w:rFonts w:hint="eastAsia" w:ascii="Cambria Math" w:hAnsi="Cambria Math" w:eastAsia="仿宋_GB2312" w:cs="仿宋_GB2312"/>
                  <w:sz w:val="18"/>
                  <w:szCs w:val="18"/>
                </w:rPr>
                <m:t>副科级以上党政领导干部总人数</m:t>
              </m:r>
              <m:ctrlPr>
                <w:rPr>
                  <w:rFonts w:hint="eastAsia" w:ascii="Cambria Math" w:hAnsi="Cambria Math" w:eastAsia="仿宋_GB2312" w:cs="仿宋_GB2312"/>
                  <w:sz w:val="18"/>
                  <w:szCs w:val="18"/>
                </w:rPr>
              </m:ctrlPr>
            </m:den>
          </m:f>
          <m:r>
            <m:rPr>
              <m:sty m:val="p"/>
            </m:rPr>
            <w:rPr>
              <w:rFonts w:hint="eastAsia" w:ascii="Cambria Math" w:hAnsi="Cambria Math" w:eastAsia="仿宋_GB2312" w:cs="仿宋_GB2312"/>
              <w:sz w:val="18"/>
              <w:szCs w:val="18"/>
            </w:rPr>
            <m:t>×100%</m:t>
          </m:r>
        </m:oMath>
      </m:oMathPara>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组织</w:t>
      </w:r>
      <w:r>
        <w:rPr>
          <w:rFonts w:hint="eastAsia" w:ascii="Times New Roman Regular" w:hAnsi="Times New Roman Regular" w:eastAsia="仿宋_GB2312" w:cs="Times New Roman Regular"/>
          <w:sz w:val="30"/>
          <w:szCs w:val="30"/>
          <w:lang w:val="zh-CN" w:bidi="en-US"/>
        </w:rPr>
        <w:t>人事等</w:t>
      </w:r>
      <w:r>
        <w:rPr>
          <w:rFonts w:ascii="Times New Roman Regular" w:hAnsi="Times New Roman Regular" w:eastAsia="仿宋_GB2312" w:cs="Times New Roman Regular"/>
          <w:sz w:val="30"/>
          <w:szCs w:val="30"/>
          <w:lang w:val="zh-CN" w:bidi="en-US"/>
        </w:rPr>
        <w:t>部门。</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44" w:name="_Toc1425649711_WPSOffice_Level1"/>
      <w:r>
        <w:rPr>
          <w:rFonts w:ascii="Times New Roman Regular" w:hAnsi="Times New Roman Regular" w:eastAsia="仿宋_GB2312" w:cs="Times New Roman Regular"/>
          <w:b/>
          <w:sz w:val="30"/>
          <w:szCs w:val="30"/>
          <w:lang w:val="zh-CN" w:bidi="en-US"/>
        </w:rPr>
        <w:t>公众对生态文明建设的满意度</w:t>
      </w:r>
      <w:bookmarkEnd w:id="44"/>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公众对生态文明建设的满意程度。该指标值以统计部门或独立调查机构通过抽样问卷调查所获取指标值的平均值为考核依据。问卷调查人员应涵盖不同年龄、不同学历、不同职业等情况，充分体现代表性。生态文明建设的抽样问卷调查应涉及生态环境质量、生态人居、生态经济发展、生态文明教育、生态文明制度建设等相关领域。</w:t>
      </w:r>
    </w:p>
    <w:p>
      <w:pPr>
        <w:adjustRightInd w:val="0"/>
        <w:snapToGrid w:val="0"/>
        <w:spacing w:line="348" w:lineRule="auto"/>
        <w:ind w:firstLine="600" w:firstLineChars="200"/>
        <w:rPr>
          <w:rFonts w:ascii="Times New Roman Regular" w:hAnsi="Times New Roman Regular" w:eastAsia="仿宋_GB2312" w:cs="Times New Roman Regular"/>
          <w:sz w:val="30"/>
          <w:szCs w:val="30"/>
          <w:lang w:val="zh-CN" w:bidi="en-US"/>
        </w:rPr>
      </w:pPr>
      <w:r>
        <w:rPr>
          <w:rFonts w:hint="eastAsia" w:ascii="Times New Roman Regular" w:hAnsi="Times New Roman Regular" w:eastAsia="仿宋_GB2312" w:cs="Times New Roman Regular"/>
          <w:sz w:val="30"/>
          <w:szCs w:val="30"/>
          <w:lang w:val="zh-CN" w:bidi="en-US"/>
        </w:rPr>
        <w:t>注：依据国家统计局的抽样调查方案，抽样调查在95%的置信度、方差为0.4、抽样误差控制在3%以内的情况下，小城市、中等城市、大城市、特大城市、超大城市的抽样样本量分别为600人、1000人、1500人、2000人、2500人。城市规模划分标准参照《关于调整城市规模划分标准的通知》（国发〔2014〕51号）执行。</w:t>
      </w:r>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统计部门或独立调查机构。</w:t>
      </w:r>
    </w:p>
    <w:p>
      <w:pPr>
        <w:numPr>
          <w:ilvl w:val="0"/>
          <w:numId w:val="1"/>
        </w:numPr>
        <w:adjustRightInd w:val="0"/>
        <w:snapToGrid w:val="0"/>
        <w:spacing w:line="348" w:lineRule="auto"/>
        <w:ind w:firstLine="602" w:firstLineChars="200"/>
        <w:outlineLvl w:val="0"/>
        <w:rPr>
          <w:rFonts w:ascii="Times New Roman Regular" w:hAnsi="Times New Roman Regular" w:eastAsia="仿宋_GB2312" w:cs="Times New Roman Regular"/>
          <w:b/>
          <w:sz w:val="30"/>
          <w:szCs w:val="30"/>
          <w:lang w:val="zh-CN" w:bidi="en-US"/>
        </w:rPr>
      </w:pPr>
      <w:bookmarkStart w:id="45" w:name="_Toc1419643198_WPSOffice_Level1"/>
      <w:r>
        <w:rPr>
          <w:rFonts w:ascii="Times New Roman Regular" w:hAnsi="Times New Roman Regular" w:eastAsia="仿宋_GB2312" w:cs="Times New Roman Regular"/>
          <w:b/>
          <w:sz w:val="30"/>
          <w:szCs w:val="30"/>
          <w:lang w:val="zh-CN" w:bidi="en-US"/>
        </w:rPr>
        <w:t>公众对生态文明建设的参与度</w:t>
      </w:r>
      <w:bookmarkEnd w:id="45"/>
    </w:p>
    <w:p>
      <w:pPr>
        <w:adjustRightInd w:val="0"/>
        <w:snapToGrid w:val="0"/>
        <w:spacing w:line="348" w:lineRule="auto"/>
        <w:ind w:firstLine="602"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b/>
          <w:bCs/>
          <w:sz w:val="30"/>
          <w:szCs w:val="30"/>
          <w:lang w:val="zh-CN" w:bidi="en-US"/>
        </w:rPr>
        <w:t>指标解释：</w:t>
      </w:r>
      <w:r>
        <w:rPr>
          <w:rFonts w:ascii="Times New Roman Regular" w:hAnsi="Times New Roman Regular" w:eastAsia="仿宋_GB2312" w:cs="Times New Roman Regular"/>
          <w:sz w:val="30"/>
          <w:szCs w:val="30"/>
          <w:lang w:val="zh-CN" w:bidi="en-US"/>
        </w:rPr>
        <w:t>指公众对生态文明建设的参与程度。该指标值通过统计部门或独立调查机构以抽样问卷调查等方式获取，调查公众对生态环境建设、生态创建活动以及绿色生活、绿色消费等生态文明建设活动的参与程度。</w:t>
      </w:r>
    </w:p>
    <w:p>
      <w:pPr>
        <w:adjustRightInd w:val="0"/>
        <w:snapToGrid w:val="0"/>
        <w:spacing w:line="348" w:lineRule="auto"/>
        <w:ind w:firstLine="600" w:firstLineChars="200"/>
        <w:rPr>
          <w:rFonts w:ascii="Times New Roman Regular" w:hAnsi="Times New Roman Regular" w:eastAsia="仿宋_GB2312" w:cs="Times New Roman Regular"/>
          <w:sz w:val="30"/>
          <w:szCs w:val="30"/>
          <w:lang w:val="zh-CN" w:bidi="en-US"/>
        </w:rPr>
      </w:pPr>
      <w:r>
        <w:rPr>
          <w:rFonts w:ascii="Times New Roman Regular" w:hAnsi="Times New Roman Regular" w:eastAsia="仿宋_GB2312" w:cs="Times New Roman Regular"/>
          <w:sz w:val="30"/>
          <w:szCs w:val="30"/>
          <w:lang w:val="zh-CN" w:bidi="en-US"/>
        </w:rPr>
        <w:t>注：抽样样本量参照“公众对生态文明建设的满意度”。</w:t>
      </w:r>
    </w:p>
    <w:p>
      <w:pPr>
        <w:adjustRightInd w:val="0"/>
        <w:snapToGrid w:val="0"/>
        <w:spacing w:line="348" w:lineRule="auto"/>
        <w:ind w:firstLine="602" w:firstLineChars="200"/>
      </w:pPr>
      <w:r>
        <w:rPr>
          <w:rFonts w:ascii="Times New Roman Regular" w:hAnsi="Times New Roman Regular" w:eastAsia="仿宋_GB2312" w:cs="Times New Roman Regular"/>
          <w:b/>
          <w:bCs/>
          <w:sz w:val="30"/>
          <w:szCs w:val="30"/>
          <w:lang w:val="zh-CN" w:bidi="en-US"/>
        </w:rPr>
        <w:t>数据来源：</w:t>
      </w:r>
      <w:r>
        <w:rPr>
          <w:rFonts w:ascii="Times New Roman Regular" w:hAnsi="Times New Roman Regular" w:eastAsia="仿宋_GB2312" w:cs="Times New Roman Regular"/>
          <w:sz w:val="30"/>
          <w:szCs w:val="30"/>
          <w:lang w:val="zh-CN" w:bidi="en-US"/>
        </w:rPr>
        <w:t>统计部门或独立调查机构。</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4981575</wp:posOffset>
              </wp:positionH>
              <wp:positionV relativeFrom="paragraph">
                <wp:posOffset>149225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92.25pt;margin-top:11.75pt;height:144pt;width:144pt;mso-position-horizontal-relative:margin;mso-wrap-style:none;z-index:251659264;mso-width-relative:page;mso-height-relative:page;" filled="f" stroked="f" coordsize="21600,21600" o:gfxdata="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G70z1gAA&#10;AAsBAAAPAAAAAAAAAAEAIAAAACIAAABkcnMvZG93bnJldi54bWxQSwECFAAUAAAACACHTuJAs4h+&#10;BecBAADHAwAADgAAAAAAAAABACAAAAAlAQAAZHJzL2Uyb0RvYy54bWxQSwUGAAAAAAYABgBZAQAA&#10;fgUAAAAA&#10;">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2BDFD"/>
    <w:multiLevelType w:val="singleLevel"/>
    <w:tmpl w:val="5EF2BDFD"/>
    <w:lvl w:ilvl="0" w:tentative="0">
      <w:start w:val="1"/>
      <w:numFmt w:val="decimal"/>
      <w:suff w:val="nothing"/>
      <w:lvlText w:val="%1．"/>
      <w:lvlJc w:val="left"/>
      <w:pPr>
        <w:tabs>
          <w:tab w:val="left" w:pos="0"/>
        </w:tabs>
        <w:ind w:left="0" w:firstLine="400"/>
      </w:pPr>
      <w:rPr>
        <w:rFonts w:hint="default"/>
      </w:rPr>
    </w:lvl>
  </w:abstractNum>
  <w:abstractNum w:abstractNumId="1">
    <w:nsid w:val="5EF5A3BD"/>
    <w:multiLevelType w:val="singleLevel"/>
    <w:tmpl w:val="5EF5A3BD"/>
    <w:lvl w:ilvl="0" w:tentative="0">
      <w:start w:val="2"/>
      <w:numFmt w:val="decimal"/>
      <w:suff w:val="nothing"/>
      <w:lvlText w:val="（%1）"/>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71"/>
    <w:rsid w:val="00506072"/>
    <w:rsid w:val="00590271"/>
    <w:rsid w:val="007811CC"/>
    <w:rsid w:val="00994B5E"/>
    <w:rsid w:val="00A47722"/>
    <w:rsid w:val="00E21B4F"/>
    <w:rsid w:val="06CA2E1E"/>
    <w:rsid w:val="0D004A60"/>
    <w:rsid w:val="17FF157A"/>
    <w:rsid w:val="1C726118"/>
    <w:rsid w:val="3B042AAE"/>
    <w:rsid w:val="43AF21D3"/>
    <w:rsid w:val="457A7A94"/>
    <w:rsid w:val="45D8519B"/>
    <w:rsid w:val="58A6082E"/>
    <w:rsid w:val="646F127F"/>
    <w:rsid w:val="6CFB6C58"/>
    <w:rsid w:val="6EB72EA3"/>
    <w:rsid w:val="6F647ED7"/>
    <w:rsid w:val="7678A045"/>
    <w:rsid w:val="7D4F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rFonts w:cs="黑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cs="宋体"/>
      <w:kern w:val="0"/>
      <w:sz w:val="24"/>
      <w:szCs w:val="24"/>
    </w:rPr>
  </w:style>
  <w:style w:type="character" w:styleId="11">
    <w:name w:val="Strong"/>
    <w:basedOn w:val="10"/>
    <w:qFormat/>
    <w:uiPriority w:val="0"/>
    <w:rPr>
      <w:rFonts w:cs="Times New Roman"/>
      <w:b/>
    </w:rPr>
  </w:style>
  <w:style w:type="character" w:customStyle="1" w:styleId="12">
    <w:name w:val="15"/>
    <w:basedOn w:val="10"/>
    <w:qFormat/>
    <w:uiPriority w:val="0"/>
    <w:rPr>
      <w:rFonts w:ascii="Calibri" w:hAnsi="Calibri" w:cs="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13534</Words>
  <Characters>1171</Characters>
  <Lines>9</Lines>
  <Paragraphs>29</Paragraphs>
  <TotalTime>17</TotalTime>
  <ScaleCrop>false</ScaleCrop>
  <LinksUpToDate>false</LinksUpToDate>
  <CharactersWithSpaces>14676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ty</dc:creator>
  <cp:lastModifiedBy>骷髅</cp:lastModifiedBy>
  <cp:lastPrinted>2021-03-31T06:56:00Z</cp:lastPrinted>
  <dcterms:modified xsi:type="dcterms:W3CDTF">2021-11-19T02:37:54Z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75808BA84E484B5EBA51507CCCA8DA56</vt:lpwstr>
  </property>
</Properties>
</file>