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_GBK"/>
          <w:sz w:val="44"/>
          <w:szCs w:val="44"/>
          <w:lang w:val="en-US" w:eastAsia="zh-CN"/>
        </w:rPr>
      </w:pPr>
      <w:r>
        <w:rPr>
          <w:rFonts w:hint="eastAsia" w:ascii="方正小标宋简体" w:hAnsi="方正小标宋简体" w:eastAsia="方正小标宋简体" w:cs="方正小标宋_GBK"/>
          <w:sz w:val="44"/>
          <w:szCs w:val="44"/>
          <w:lang w:eastAsia="zh-CN"/>
        </w:rPr>
        <w:t>《贵州省生态保护红线生态环境监督办法（试行）》</w:t>
      </w:r>
      <w:r>
        <w:rPr>
          <w:rFonts w:hint="eastAsia" w:ascii="方正小标宋简体" w:hAnsi="方正小标宋简体" w:eastAsia="方正小标宋简体" w:cs="方正小标宋_GBK"/>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黑体" w:eastAsia="黑体"/>
          <w:sz w:val="32"/>
          <w:szCs w:val="32"/>
        </w:rPr>
      </w:pPr>
      <w:r>
        <w:rPr>
          <w:rFonts w:ascii="Times New Roman" w:hAnsi="Times New Roman" w:eastAsia="黑体"/>
          <w:sz w:val="32"/>
          <w:szCs w:val="32"/>
        </w:rPr>
        <w:t>　</w:t>
      </w:r>
      <w:r>
        <w:rPr>
          <w:rFonts w:ascii="Times New Roman" w:hAnsi="黑体" w:eastAsia="黑体"/>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sz w:val="32"/>
          <w:szCs w:val="32"/>
          <w:lang w:val="en"/>
        </w:rPr>
      </w:pPr>
      <w:r>
        <w:rPr>
          <w:rFonts w:ascii="Times New Roman" w:hAnsi="黑体" w:eastAsia="黑体"/>
          <w:sz w:val="32"/>
          <w:szCs w:val="32"/>
          <w:lang w:val="en"/>
        </w:rPr>
        <w:t>一、起草背景及过程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0"/>
          <w:szCs w:val="30"/>
          <w:highlight w:val="none"/>
          <w:lang w:val="en-US" w:eastAsia="zh-CN" w:bidi="ar"/>
        </w:rPr>
      </w:pPr>
      <w:r>
        <w:rPr>
          <w:rFonts w:hint="eastAsia" w:ascii="仿宋_GB2312" w:hAnsi="仿宋_GB2312" w:eastAsia="仿宋_GB2312" w:cs="仿宋_GB2312"/>
          <w:color w:val="auto"/>
          <w:kern w:val="0"/>
          <w:sz w:val="32"/>
          <w:szCs w:val="32"/>
        </w:rPr>
        <w:t>生态保护红线是在生态空间范围内具有特殊重要生态功能、必须强制性严格保护的区域，是保障和维护国家生态安全的底线和生命线。</w:t>
      </w:r>
      <w:r>
        <w:rPr>
          <w:rFonts w:hint="eastAsia" w:ascii="仿宋_GB2312" w:hAnsi="仿宋_GB2312" w:eastAsia="仿宋_GB2312" w:cs="仿宋_GB2312"/>
          <w:color w:val="auto"/>
          <w:kern w:val="0"/>
          <w:sz w:val="32"/>
          <w:szCs w:val="32"/>
          <w:lang w:val="en-US" w:eastAsia="zh-CN"/>
        </w:rPr>
        <w:t>生态环境部</w:t>
      </w:r>
      <w:r>
        <w:rPr>
          <w:rFonts w:hint="eastAsia" w:ascii="仿宋_GB2312" w:hAnsi="仿宋_GB2312" w:eastAsia="仿宋_GB2312" w:cs="仿宋_GB2312"/>
          <w:color w:val="auto"/>
          <w:kern w:val="0"/>
          <w:sz w:val="32"/>
          <w:szCs w:val="32"/>
          <w:lang w:eastAsia="zh-CN"/>
        </w:rPr>
        <w:t>《生态保护红线生态环境监督办法（试行）》（国环规生态〔2022〕2号）《关于做好生态保护红线生态破坏问题监督和保护成效评估工作的通知》（环办生态函〔202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218</w:t>
      </w:r>
      <w:r>
        <w:rPr>
          <w:rFonts w:hint="eastAsia" w:ascii="仿宋_GB2312" w:hAnsi="仿宋_GB2312" w:eastAsia="仿宋_GB2312" w:cs="仿宋_GB2312"/>
          <w:color w:val="auto"/>
          <w:kern w:val="0"/>
          <w:sz w:val="32"/>
          <w:szCs w:val="32"/>
          <w:lang w:eastAsia="zh-CN"/>
        </w:rPr>
        <w:t>号），要求</w:t>
      </w:r>
      <w:r>
        <w:rPr>
          <w:rFonts w:ascii="仿宋_GB2312" w:hAnsi="仿宋_GB2312" w:eastAsia="仿宋_GB2312" w:cs="仿宋_GB2312"/>
          <w:color w:val="000000"/>
          <w:kern w:val="0"/>
          <w:sz w:val="30"/>
          <w:szCs w:val="30"/>
          <w:highlight w:val="none"/>
          <w:lang w:val="en-US" w:eastAsia="zh-CN" w:bidi="ar"/>
        </w:rPr>
        <w:t>省级生态环境部</w:t>
      </w:r>
      <w:r>
        <w:rPr>
          <w:rFonts w:hint="eastAsia" w:ascii="仿宋_GB2312" w:hAnsi="仿宋_GB2312" w:eastAsia="仿宋_GB2312" w:cs="仿宋_GB2312"/>
          <w:color w:val="000000"/>
          <w:kern w:val="0"/>
          <w:sz w:val="30"/>
          <w:szCs w:val="30"/>
          <w:highlight w:val="none"/>
          <w:lang w:val="en-US" w:eastAsia="zh-CN" w:bidi="ar"/>
        </w:rPr>
        <w:t>门可结合本行政区具体情况，制定本行政区生态保护红线生态环境监督办法。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sz w:val="32"/>
          <w:szCs w:val="32"/>
          <w:highlight w:val="none"/>
        </w:rPr>
        <w:t>共1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一条</w:t>
      </w:r>
      <w:r>
        <w:rPr>
          <w:rFonts w:hint="eastAsia" w:ascii="仿宋_GB2312" w:hAnsi="仿宋_GB2312" w:eastAsia="仿宋_GB2312" w:cs="仿宋_GB2312"/>
          <w:sz w:val="32"/>
          <w:szCs w:val="32"/>
          <w:highlight w:val="none"/>
        </w:rPr>
        <w:t>至第</w:t>
      </w:r>
      <w:r>
        <w:rPr>
          <w:rFonts w:hint="eastAsia" w:ascii="仿宋_GB2312" w:hAnsi="仿宋_GB2312" w:eastAsia="仿宋_GB2312" w:cs="仿宋_GB2312"/>
          <w:sz w:val="32"/>
          <w:szCs w:val="32"/>
          <w:highlight w:val="none"/>
          <w:lang w:val="en-US" w:eastAsia="zh-CN"/>
        </w:rPr>
        <w:t>三条为制定依据、适用范围和监督原则，确定了生态保护红线生态环境监督的制定依据、定义与</w:t>
      </w:r>
      <w:r>
        <w:rPr>
          <w:rFonts w:hint="eastAsia" w:ascii="仿宋_GB2312" w:hAnsi="仿宋_GB2312" w:eastAsia="仿宋_GB2312" w:cs="仿宋_GB2312"/>
          <w:sz w:val="32"/>
          <w:szCs w:val="32"/>
          <w:highlight w:val="none"/>
        </w:rPr>
        <w:t>适用</w:t>
      </w:r>
      <w:r>
        <w:rPr>
          <w:rFonts w:hint="eastAsia" w:ascii="仿宋_GB2312" w:hAnsi="仿宋_GB2312" w:eastAsia="仿宋_GB2312" w:cs="仿宋_GB2312"/>
          <w:sz w:val="32"/>
          <w:szCs w:val="32"/>
          <w:highlight w:val="none"/>
          <w:lang w:val="en-US" w:eastAsia="zh-CN"/>
        </w:rPr>
        <w:t>范围和监督原则。第四条至第十一条为监督职责，确定了生态保护红线生态环境监督的主体，规定了生态环境部门职责分工，明确了监督事项及监督措施。第十二条</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第十六条为技术支撑、信息公开和成果应用。第十七条、第十八条为其他事项，规定了办法的解释权、生效时间及试用期限。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highlight w:val="none"/>
        </w:rPr>
      </w:pPr>
      <w:r>
        <w:rPr>
          <w:rFonts w:ascii="Times New Roman" w:hAnsi="Times New Roman" w:eastAsia="黑体"/>
          <w:sz w:val="32"/>
          <w:szCs w:val="32"/>
          <w:highlight w:val="none"/>
        </w:rPr>
        <w:t>三、需要说明的问题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楷体_GB2312"/>
          <w:b w:val="0"/>
          <w:bCs w:val="0"/>
          <w:sz w:val="32"/>
          <w:szCs w:val="32"/>
          <w:highlight w:val="none"/>
        </w:rPr>
        <w:t>（一）关于总体考虑。</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照抄照搬</w:t>
      </w:r>
      <w:r>
        <w:rPr>
          <w:rFonts w:hint="eastAsia" w:ascii="仿宋_GB2312" w:hAnsi="仿宋_GB2312" w:eastAsia="仿宋_GB2312" w:cs="仿宋_GB2312"/>
          <w:sz w:val="32"/>
          <w:szCs w:val="32"/>
          <w:highlight w:val="none"/>
        </w:rPr>
        <w:t>上级文件，</w:t>
      </w:r>
      <w:r>
        <w:rPr>
          <w:rFonts w:hint="eastAsia" w:ascii="仿宋_GB2312" w:hAnsi="仿宋_GB2312" w:eastAsia="仿宋_GB2312" w:cs="仿宋_GB2312"/>
          <w:sz w:val="32"/>
          <w:szCs w:val="32"/>
          <w:highlight w:val="none"/>
          <w:lang w:eastAsia="zh-CN"/>
        </w:rPr>
        <w:t>生态环境部</w:t>
      </w:r>
      <w:r>
        <w:rPr>
          <w:rFonts w:hint="eastAsia" w:ascii="仿宋_GB2312" w:hAnsi="仿宋_GB2312" w:eastAsia="仿宋_GB2312" w:cs="仿宋_GB2312"/>
          <w:color w:val="auto"/>
          <w:kern w:val="0"/>
          <w:sz w:val="32"/>
          <w:szCs w:val="32"/>
          <w:highlight w:val="none"/>
          <w:lang w:eastAsia="zh-CN"/>
        </w:rPr>
        <w:t>《生态保护红线生态环境监督办法（试行）》</w:t>
      </w:r>
      <w:r>
        <w:rPr>
          <w:rFonts w:hint="eastAsia" w:ascii="仿宋_GB2312" w:hAnsi="仿宋_GB2312" w:eastAsia="仿宋_GB2312" w:cs="仿宋_GB2312"/>
          <w:sz w:val="32"/>
          <w:szCs w:val="32"/>
          <w:highlight w:val="none"/>
        </w:rPr>
        <w:t>已明确</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内容，严格执行，不作重复性规定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起草工作重点是细化和补充，针对我省实际作出具体的规定，更具有针对性、适用性和可操作性。与</w:t>
      </w:r>
      <w:r>
        <w:rPr>
          <w:rFonts w:hint="eastAsia" w:ascii="仿宋_GB2312" w:hAnsi="仿宋_GB2312" w:eastAsia="仿宋_GB2312" w:cs="仿宋_GB2312"/>
          <w:sz w:val="32"/>
          <w:szCs w:val="32"/>
          <w:highlight w:val="none"/>
          <w:lang w:eastAsia="zh-CN"/>
        </w:rPr>
        <w:t>生态环境部</w:t>
      </w:r>
      <w:bookmarkStart w:id="0" w:name="_GoBack"/>
      <w:bookmarkEnd w:id="0"/>
      <w:r>
        <w:rPr>
          <w:rFonts w:hint="eastAsia" w:ascii="仿宋_GB2312" w:hAnsi="仿宋_GB2312" w:eastAsia="仿宋_GB2312" w:cs="仿宋_GB2312"/>
          <w:color w:val="auto"/>
          <w:kern w:val="0"/>
          <w:sz w:val="32"/>
          <w:szCs w:val="32"/>
          <w:highlight w:val="none"/>
          <w:lang w:eastAsia="zh-CN"/>
        </w:rPr>
        <w:t>《生态保护红线生态环境监督办法（试行）》</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条相比，</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sz w:val="32"/>
          <w:szCs w:val="32"/>
          <w:highlight w:val="none"/>
        </w:rPr>
        <w:t>共1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条，其中新增条款</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条、细化条款</w:t>
      </w:r>
      <w:r>
        <w:rPr>
          <w:rFonts w:hint="eastAsia" w:ascii="仿宋_GB2312" w:hAnsi="仿宋_GB2312" w:eastAsia="仿宋_GB2312" w:cs="仿宋_GB2312"/>
          <w:sz w:val="32"/>
          <w:szCs w:val="32"/>
          <w:highlight w:val="none"/>
          <w:lang w:val="en-US" w:eastAsia="zh-CN"/>
        </w:rPr>
        <w:t>共10</w:t>
      </w:r>
      <w:r>
        <w:rPr>
          <w:rFonts w:hint="eastAsia" w:ascii="仿宋_GB2312" w:hAnsi="仿宋_GB2312" w:eastAsia="仿宋_GB2312" w:cs="仿宋_GB2312"/>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color w:val="auto"/>
          <w:kern w:val="0"/>
          <w:sz w:val="32"/>
          <w:szCs w:val="32"/>
          <w:highlight w:val="none"/>
          <w:lang w:eastAsia="zh-CN"/>
        </w:rPr>
      </w:pPr>
      <w:r>
        <w:rPr>
          <w:rFonts w:ascii="Times New Roman" w:hAnsi="Times New Roman" w:eastAsia="楷体_GB2312"/>
          <w:b w:val="0"/>
          <w:bCs w:val="0"/>
          <w:sz w:val="32"/>
          <w:szCs w:val="32"/>
          <w:highlight w:val="none"/>
        </w:rPr>
        <w:t>（二）关于新增内容。</w:t>
      </w:r>
      <w:r>
        <w:rPr>
          <w:rFonts w:hint="eastAsia" w:ascii="仿宋_GB2312" w:hAnsi="仿宋_GB2312" w:eastAsia="仿宋_GB2312" w:cs="仿宋_GB2312"/>
          <w:sz w:val="32"/>
          <w:szCs w:val="32"/>
          <w:highlight w:val="none"/>
          <w:lang w:val="en-US" w:eastAsia="zh-CN"/>
        </w:rPr>
        <w:t>一是加强与同级自然资源、林业等部门的联动会商，共同严守生态保护红线。二是明确建立</w:t>
      </w:r>
      <w:r>
        <w:rPr>
          <w:rFonts w:hint="eastAsia" w:ascii="仿宋_GB2312" w:hAnsi="仿宋_GB2312" w:eastAsia="仿宋_GB2312" w:cs="仿宋_GB2312"/>
          <w:sz w:val="32"/>
          <w:szCs w:val="32"/>
          <w:highlight w:val="none"/>
          <w:lang w:eastAsia="zh-CN"/>
        </w:rPr>
        <w:t>省级生态保护红线生态环境监督专家库，分析研判生态保护红线生态环境保护情况</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Times New Roman" w:hAnsi="Times New Roman" w:eastAsia="楷体_GB2312"/>
          <w:b w:val="0"/>
          <w:bCs w:val="0"/>
          <w:sz w:val="32"/>
          <w:szCs w:val="32"/>
          <w:highlight w:val="none"/>
          <w:lang w:eastAsia="zh-CN"/>
        </w:rPr>
        <w:t>（</w:t>
      </w:r>
      <w:r>
        <w:rPr>
          <w:rFonts w:hint="eastAsia" w:ascii="Times New Roman" w:hAnsi="Times New Roman" w:eastAsia="楷体_GB2312"/>
          <w:b w:val="0"/>
          <w:bCs w:val="0"/>
          <w:sz w:val="32"/>
          <w:szCs w:val="32"/>
          <w:highlight w:val="none"/>
          <w:lang w:val="en-US" w:eastAsia="zh-CN"/>
        </w:rPr>
        <w:t>三</w:t>
      </w:r>
      <w:r>
        <w:rPr>
          <w:rFonts w:hint="eastAsia" w:ascii="Times New Roman" w:hAnsi="Times New Roman" w:eastAsia="楷体_GB2312"/>
          <w:b w:val="0"/>
          <w:bCs w:val="0"/>
          <w:sz w:val="32"/>
          <w:szCs w:val="32"/>
          <w:highlight w:val="none"/>
          <w:lang w:eastAsia="zh-CN"/>
        </w:rPr>
        <w:t>）</w:t>
      </w:r>
      <w:r>
        <w:rPr>
          <w:rFonts w:hint="eastAsia" w:ascii="Times New Roman" w:hAnsi="Times New Roman" w:eastAsia="楷体_GB2312"/>
          <w:b w:val="0"/>
          <w:bCs w:val="0"/>
          <w:sz w:val="32"/>
          <w:szCs w:val="32"/>
          <w:highlight w:val="none"/>
          <w:lang w:val="en-US" w:eastAsia="zh-CN"/>
        </w:rPr>
        <w:t>关于细化内容。</w:t>
      </w:r>
      <w:r>
        <w:rPr>
          <w:rFonts w:hint="eastAsia" w:ascii="Times New Roman" w:hAnsi="Times New Roman" w:eastAsia="仿宋_GB2312"/>
          <w:sz w:val="32"/>
          <w:szCs w:val="32"/>
          <w:highlight w:val="none"/>
          <w:lang w:val="en-US" w:eastAsia="zh-CN"/>
        </w:rPr>
        <w:t>一是制定依据中增加了我省相关法规。二是细化了生态保护红线的矢量边界</w:t>
      </w:r>
      <w:r>
        <w:rPr>
          <w:rFonts w:hint="eastAsia" w:ascii="仿宋_GB2312" w:hAnsi="仿宋_GB2312" w:eastAsia="仿宋_GB2312" w:cs="仿宋_GB2312"/>
          <w:color w:val="auto"/>
          <w:kern w:val="0"/>
          <w:sz w:val="32"/>
          <w:szCs w:val="32"/>
          <w:highlight w:val="none"/>
          <w:lang w:eastAsia="zh-CN"/>
        </w:rPr>
        <w:t>与国家批准的“三区三线”划定成果一致</w:t>
      </w:r>
      <w:r>
        <w:rPr>
          <w:rFonts w:hint="eastAsia" w:ascii="Times New Roman" w:hAnsi="Times New Roman" w:eastAsia="仿宋_GB2312"/>
          <w:sz w:val="32"/>
          <w:szCs w:val="32"/>
          <w:highlight w:val="none"/>
          <w:lang w:val="en-US" w:eastAsia="zh-CN"/>
        </w:rPr>
        <w:t>。三是根据我省实际，细化了省、市两级生态环境部门生态保护红线生态环境监督职责，主要针对</w:t>
      </w:r>
      <w:r>
        <w:rPr>
          <w:rFonts w:hint="eastAsia" w:ascii="仿宋_GB2312" w:hAnsi="仿宋_GB2312" w:eastAsia="仿宋_GB2312" w:cs="仿宋_GB2312"/>
          <w:color w:val="auto"/>
          <w:kern w:val="0"/>
          <w:sz w:val="32"/>
          <w:szCs w:val="32"/>
          <w:highlight w:val="none"/>
          <w:lang w:val="en-US" w:eastAsia="zh-CN"/>
        </w:rPr>
        <w:t>生态保护红线生态环境监督措施、程序及职责进行了细化</w:t>
      </w:r>
      <w:r>
        <w:rPr>
          <w:rFonts w:hint="eastAsia" w:ascii="仿宋_GB2312" w:hAnsi="仿宋_GB2312" w:eastAsia="仿宋_GB2312" w:cs="仿宋_GB2312"/>
          <w:color w:val="auto"/>
          <w:kern w:val="0"/>
          <w:sz w:val="32"/>
          <w:szCs w:val="32"/>
          <w:highlight w:val="none"/>
          <w:lang w:eastAsia="zh-CN"/>
        </w:rPr>
        <w:t>。</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YTMzMzEzN2MyNzBjYjY3NDYxMDdlNTNkYjFiZDkifQ=="/>
  </w:docVars>
  <w:rsids>
    <w:rsidRoot w:val="77BF3848"/>
    <w:rsid w:val="05597AD4"/>
    <w:rsid w:val="3FFFEE75"/>
    <w:rsid w:val="475E02E5"/>
    <w:rsid w:val="50707007"/>
    <w:rsid w:val="77BF3848"/>
    <w:rsid w:val="78AF85A1"/>
    <w:rsid w:val="7BF30969"/>
    <w:rsid w:val="FFFF8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widowControl w:val="0"/>
      <w:tabs>
        <w:tab w:val="left" w:pos="567"/>
      </w:tabs>
      <w:spacing w:before="260" w:after="260" w:line="415" w:lineRule="auto"/>
      <w:ind w:left="567" w:hanging="567"/>
      <w:outlineLvl w:val="1"/>
    </w:pPr>
    <w:rPr>
      <w:rFonts w:eastAsia="黑体"/>
      <w:sz w:val="30"/>
      <w:szCs w:val="3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994</Characters>
  <Lines>0</Lines>
  <Paragraphs>0</Paragraphs>
  <TotalTime>3</TotalTime>
  <ScaleCrop>false</ScaleCrop>
  <LinksUpToDate>false</LinksUpToDate>
  <CharactersWithSpaces>996</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2023-02-07T14:21:00Z</dcterms:created>
  <dc:creator>夜风</dc:creator>
  <cp:lastModifiedBy>ysgz</cp:lastModifiedBy>
  <dcterms:modified xsi:type="dcterms:W3CDTF">2023-07-18T17:42:38Z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B6AA50FCD2864214F05BB6646F6EFC30</vt:lpwstr>
  </property>
</Properties>
</file>