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FD" w:rsidRDefault="00E668A9" w:rsidP="00E668A9">
      <w:pPr>
        <w:pStyle w:val="1"/>
        <w:spacing w:line="680" w:lineRule="exact"/>
        <w:ind w:left="255" w:firstLine="0"/>
        <w:jc w:val="center"/>
        <w:rPr>
          <w:rFonts w:ascii="方正小标宋简体" w:eastAsia="方正小标宋简体"/>
          <w:color w:val="2E5395"/>
          <w:sz w:val="44"/>
          <w:szCs w:val="44"/>
        </w:rPr>
      </w:pPr>
      <w:r>
        <w:rPr>
          <w:rFonts w:ascii="方正小标宋简体" w:eastAsia="方正小标宋简体" w:hint="eastAsia"/>
          <w:color w:val="2E5395"/>
          <w:sz w:val="44"/>
          <w:szCs w:val="44"/>
        </w:rPr>
        <w:t xml:space="preserve">   </w:t>
      </w:r>
      <w:bookmarkStart w:id="0" w:name="_GoBack"/>
      <w:r>
        <w:rPr>
          <w:rFonts w:ascii="方正小标宋简体" w:eastAsia="方正小标宋简体"/>
          <w:color w:val="2E5395"/>
          <w:sz w:val="44"/>
          <w:szCs w:val="44"/>
        </w:rPr>
        <w:t>贵阳市自然资源和规划局关于</w:t>
      </w:r>
      <w:bookmarkStart w:id="1" w:name="_Hlk139465595"/>
      <w:r>
        <w:rPr>
          <w:rFonts w:ascii="方正小标宋简体" w:eastAsia="方正小标宋简体" w:hint="eastAsia"/>
          <w:color w:val="2E5395"/>
          <w:sz w:val="44"/>
          <w:szCs w:val="44"/>
        </w:rPr>
        <w:t>《中心城区控制性详细规划（细则）—白云组团粑粑坳单元</w:t>
      </w:r>
      <w:r>
        <w:rPr>
          <w:rFonts w:ascii="方正小标宋简体" w:eastAsia="方正小标宋简体" w:hint="eastAsia"/>
          <w:color w:val="2E5395"/>
          <w:sz w:val="44"/>
          <w:szCs w:val="44"/>
        </w:rPr>
        <w:t>BY-11-05-01</w:t>
      </w:r>
      <w:r>
        <w:rPr>
          <w:rFonts w:ascii="方正小标宋简体" w:eastAsia="方正小标宋简体" w:hint="eastAsia"/>
          <w:color w:val="2E5395"/>
          <w:sz w:val="44"/>
          <w:szCs w:val="44"/>
        </w:rPr>
        <w:t>地块规划调整</w:t>
      </w:r>
      <w:r>
        <w:rPr>
          <w:rFonts w:ascii="方正小标宋简体" w:eastAsia="方正小标宋简体"/>
          <w:color w:val="2E5395"/>
          <w:sz w:val="44"/>
          <w:szCs w:val="44"/>
        </w:rPr>
        <w:t>》</w:t>
      </w:r>
      <w:bookmarkEnd w:id="1"/>
      <w:r>
        <w:rPr>
          <w:rFonts w:ascii="方正小标宋简体" w:eastAsia="方正小标宋简体"/>
          <w:color w:val="2E5395"/>
          <w:sz w:val="44"/>
          <w:szCs w:val="44"/>
        </w:rPr>
        <w:t>的</w:t>
      </w:r>
      <w:r>
        <w:rPr>
          <w:rFonts w:ascii="方正小标宋简体" w:eastAsia="方正小标宋简体" w:hint="eastAsia"/>
          <w:color w:val="2E5395"/>
          <w:sz w:val="44"/>
          <w:szCs w:val="44"/>
        </w:rPr>
        <w:t>批前</w:t>
      </w:r>
      <w:r>
        <w:rPr>
          <w:rFonts w:ascii="方正小标宋简体" w:eastAsia="方正小标宋简体"/>
          <w:color w:val="2E5395"/>
          <w:sz w:val="44"/>
          <w:szCs w:val="44"/>
        </w:rPr>
        <w:t>公示</w:t>
      </w:r>
      <w:bookmarkEnd w:id="0"/>
    </w:p>
    <w:p w:rsidR="00D045FD" w:rsidRDefault="00D045FD">
      <w:pPr>
        <w:spacing w:before="8"/>
        <w:rPr>
          <w:rFonts w:ascii="黑体" w:eastAsia="黑体" w:cs="黑体"/>
          <w:b/>
          <w:bCs/>
          <w:sz w:val="48"/>
          <w:szCs w:val="48"/>
        </w:rPr>
      </w:pPr>
    </w:p>
    <w:p w:rsidR="00D045FD" w:rsidRDefault="00E668A9">
      <w:pPr>
        <w:pStyle w:val="a3"/>
        <w:spacing w:line="560" w:lineRule="exact"/>
        <w:ind w:firstLine="600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/>
          <w:color w:val="333333"/>
          <w:sz w:val="32"/>
          <w:szCs w:val="32"/>
        </w:rPr>
        <w:t>依据《贵阳市城市总体规划（</w:t>
      </w:r>
      <w:r>
        <w:rPr>
          <w:rFonts w:ascii="仿宋_GB2312" w:eastAsia="仿宋_GB2312"/>
          <w:color w:val="333333"/>
          <w:sz w:val="32"/>
          <w:szCs w:val="32"/>
        </w:rPr>
        <w:t xml:space="preserve">2011-2020 </w:t>
      </w:r>
      <w:r>
        <w:rPr>
          <w:rFonts w:ascii="仿宋_GB2312" w:eastAsia="仿宋_GB2312"/>
          <w:color w:val="333333"/>
          <w:sz w:val="32"/>
          <w:szCs w:val="32"/>
        </w:rPr>
        <w:t>年）》（</w:t>
      </w:r>
      <w:r>
        <w:rPr>
          <w:rFonts w:ascii="仿宋_GB2312" w:eastAsia="仿宋_GB2312"/>
          <w:color w:val="333333"/>
          <w:sz w:val="32"/>
          <w:szCs w:val="32"/>
        </w:rPr>
        <w:t xml:space="preserve">2017 </w:t>
      </w:r>
      <w:r>
        <w:rPr>
          <w:rFonts w:ascii="仿宋_GB2312" w:eastAsia="仿宋_GB2312"/>
          <w:color w:val="333333"/>
          <w:sz w:val="32"/>
          <w:szCs w:val="32"/>
        </w:rPr>
        <w:t>年修订）、</w:t>
      </w:r>
      <w:r>
        <w:rPr>
          <w:rFonts w:ascii="仿宋_GB2312" w:eastAsia="仿宋_GB2312" w:hint="eastAsia"/>
          <w:color w:val="333333"/>
          <w:sz w:val="32"/>
          <w:szCs w:val="32"/>
        </w:rPr>
        <w:t>《贵阳市中心城区控制性详细规划（总则）—白云组团》等上位规划，白云区政府组织编制完成《贵阳市中心城区控制性详细规划（细则）—白云组团粑粑坳单元</w:t>
      </w:r>
      <w:r>
        <w:rPr>
          <w:rFonts w:ascii="仿宋_GB2312" w:eastAsia="仿宋_GB2312" w:hint="eastAsia"/>
          <w:color w:val="333333"/>
          <w:sz w:val="32"/>
          <w:szCs w:val="32"/>
        </w:rPr>
        <w:t>BY-11-05-01</w:t>
      </w:r>
      <w:r>
        <w:rPr>
          <w:rFonts w:ascii="仿宋_GB2312" w:eastAsia="仿宋_GB2312" w:hint="eastAsia"/>
          <w:color w:val="333333"/>
          <w:sz w:val="32"/>
          <w:szCs w:val="32"/>
        </w:rPr>
        <w:t>地块规划调整》</w:t>
      </w:r>
      <w:r>
        <w:rPr>
          <w:rFonts w:ascii="仿宋_GB2312" w:eastAsia="仿宋_GB2312"/>
          <w:color w:val="333333"/>
          <w:sz w:val="32"/>
          <w:szCs w:val="32"/>
        </w:rPr>
        <w:t>并报我局审查，根据《中华人民共和国城乡规划法》、《贵阳市控制性详细规划管理办法》等相关法律法规和规章要求，现将规划方案主要内容予以公告，广泛征求社会意见，方案及指标以最终批复为准。</w:t>
      </w:r>
    </w:p>
    <w:p w:rsidR="00D045FD" w:rsidRDefault="00E668A9">
      <w:pPr>
        <w:pStyle w:val="a3"/>
        <w:spacing w:line="560" w:lineRule="exact"/>
        <w:ind w:firstLine="600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/>
          <w:color w:val="333333"/>
          <w:sz w:val="32"/>
          <w:szCs w:val="32"/>
        </w:rPr>
        <w:t>公告时间：自公告之日起</w:t>
      </w:r>
      <w:r>
        <w:rPr>
          <w:rFonts w:ascii="仿宋_GB2312" w:eastAsia="仿宋_GB2312"/>
          <w:color w:val="333333"/>
          <w:sz w:val="32"/>
          <w:szCs w:val="32"/>
        </w:rPr>
        <w:t xml:space="preserve"> 10 </w:t>
      </w:r>
      <w:r>
        <w:rPr>
          <w:rFonts w:ascii="仿宋_GB2312" w:eastAsia="仿宋_GB2312"/>
          <w:color w:val="333333"/>
          <w:sz w:val="32"/>
          <w:szCs w:val="32"/>
        </w:rPr>
        <w:t>工作日。</w:t>
      </w:r>
      <w:r>
        <w:rPr>
          <w:rFonts w:ascii="仿宋_GB2312" w:eastAsia="仿宋_GB2312"/>
          <w:color w:val="333333"/>
          <w:sz w:val="32"/>
          <w:szCs w:val="32"/>
        </w:rPr>
        <w:t xml:space="preserve"> </w:t>
      </w:r>
    </w:p>
    <w:p w:rsidR="00D045FD" w:rsidRDefault="00E668A9">
      <w:pPr>
        <w:pStyle w:val="a3"/>
        <w:spacing w:line="560" w:lineRule="exact"/>
        <w:ind w:firstLine="600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/>
          <w:color w:val="333333"/>
          <w:sz w:val="32"/>
          <w:szCs w:val="32"/>
        </w:rPr>
        <w:t>联系人：</w:t>
      </w:r>
      <w:r>
        <w:rPr>
          <w:rFonts w:ascii="仿宋_GB2312" w:eastAsia="仿宋_GB2312" w:hint="eastAsia"/>
          <w:color w:val="333333"/>
          <w:sz w:val="32"/>
          <w:szCs w:val="32"/>
        </w:rPr>
        <w:t>白</w:t>
      </w:r>
      <w:r>
        <w:rPr>
          <w:rFonts w:ascii="仿宋_GB2312" w:eastAsia="仿宋_GB2312" w:hint="eastAsia"/>
          <w:color w:val="333333"/>
          <w:sz w:val="32"/>
          <w:szCs w:val="32"/>
        </w:rPr>
        <w:t xml:space="preserve">  </w:t>
      </w:r>
      <w:r>
        <w:rPr>
          <w:rFonts w:ascii="仿宋_GB2312" w:eastAsia="仿宋_GB2312" w:hint="eastAsia"/>
          <w:color w:val="333333"/>
          <w:sz w:val="32"/>
          <w:szCs w:val="32"/>
        </w:rPr>
        <w:t>莹（</w:t>
      </w:r>
      <w:r>
        <w:rPr>
          <w:rFonts w:ascii="仿宋_GB2312" w:eastAsia="仿宋_GB2312" w:hint="eastAsia"/>
          <w:color w:val="333333"/>
          <w:sz w:val="32"/>
          <w:szCs w:val="32"/>
        </w:rPr>
        <w:t>085185829396</w:t>
      </w:r>
      <w:r>
        <w:rPr>
          <w:rFonts w:ascii="仿宋_GB2312" w:eastAsia="仿宋_GB2312" w:hint="eastAsia"/>
          <w:color w:val="333333"/>
          <w:sz w:val="32"/>
          <w:szCs w:val="32"/>
        </w:rPr>
        <w:t>）</w:t>
      </w:r>
    </w:p>
    <w:p w:rsidR="00D045FD" w:rsidRDefault="00E668A9">
      <w:pPr>
        <w:pStyle w:val="a3"/>
        <w:spacing w:line="560" w:lineRule="exact"/>
        <w:ind w:leftChars="55" w:left="121" w:firstLineChars="585" w:firstLine="1872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 w:hint="eastAsia"/>
          <w:color w:val="333333"/>
          <w:sz w:val="32"/>
          <w:szCs w:val="32"/>
        </w:rPr>
        <w:t>吴</w:t>
      </w:r>
      <w:r>
        <w:rPr>
          <w:rFonts w:ascii="仿宋_GB2312" w:eastAsia="仿宋_GB2312" w:hint="eastAsia"/>
          <w:color w:val="333333"/>
          <w:sz w:val="32"/>
          <w:szCs w:val="32"/>
        </w:rPr>
        <w:t xml:space="preserve">  </w:t>
      </w:r>
      <w:r>
        <w:rPr>
          <w:rFonts w:ascii="仿宋_GB2312" w:eastAsia="仿宋_GB2312" w:hint="eastAsia"/>
          <w:color w:val="333333"/>
          <w:sz w:val="32"/>
          <w:szCs w:val="32"/>
        </w:rPr>
        <w:t>奇（</w:t>
      </w:r>
      <w:r>
        <w:rPr>
          <w:rFonts w:ascii="仿宋_GB2312" w:eastAsia="仿宋_GB2312" w:hint="eastAsia"/>
          <w:color w:val="333333"/>
          <w:sz w:val="32"/>
          <w:szCs w:val="32"/>
        </w:rPr>
        <w:t>18685049737</w:t>
      </w:r>
      <w:r>
        <w:rPr>
          <w:rFonts w:ascii="仿宋_GB2312" w:eastAsia="仿宋_GB2312" w:hint="eastAsia"/>
          <w:color w:val="333333"/>
          <w:sz w:val="32"/>
          <w:szCs w:val="32"/>
        </w:rPr>
        <w:t>）</w:t>
      </w:r>
    </w:p>
    <w:p w:rsidR="00D045FD" w:rsidRDefault="00E668A9" w:rsidP="00E668A9">
      <w:pPr>
        <w:pStyle w:val="a3"/>
        <w:spacing w:line="560" w:lineRule="exact"/>
        <w:ind w:leftChars="55" w:left="121" w:firstLineChars="585" w:firstLine="1843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 w:hint="eastAsia"/>
          <w:color w:val="333333"/>
          <w:spacing w:val="-5"/>
          <w:sz w:val="32"/>
          <w:szCs w:val="32"/>
        </w:rPr>
        <w:t>王兴亚（</w:t>
      </w:r>
      <w:r>
        <w:rPr>
          <w:rFonts w:ascii="仿宋_GB2312" w:eastAsia="仿宋_GB2312" w:hint="eastAsia"/>
          <w:color w:val="333333"/>
          <w:spacing w:val="-5"/>
          <w:sz w:val="32"/>
          <w:szCs w:val="32"/>
        </w:rPr>
        <w:t>0851-85865165</w:t>
      </w:r>
      <w:r>
        <w:rPr>
          <w:rFonts w:ascii="仿宋_GB2312" w:eastAsia="仿宋_GB2312" w:hint="eastAsia"/>
          <w:color w:val="333333"/>
          <w:spacing w:val="-5"/>
          <w:sz w:val="32"/>
          <w:szCs w:val="32"/>
        </w:rPr>
        <w:t>）</w:t>
      </w:r>
    </w:p>
    <w:p w:rsidR="00D045FD" w:rsidRDefault="00E668A9">
      <w:pPr>
        <w:pStyle w:val="a3"/>
        <w:spacing w:line="560" w:lineRule="exact"/>
        <w:ind w:firstLine="600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/>
          <w:color w:val="333333"/>
          <w:sz w:val="32"/>
          <w:szCs w:val="32"/>
        </w:rPr>
        <w:t>传</w:t>
      </w:r>
      <w:r>
        <w:rPr>
          <w:rFonts w:ascii="仿宋_GB2312" w:eastAsia="仿宋_GB2312"/>
          <w:color w:val="333333"/>
          <w:sz w:val="32"/>
          <w:szCs w:val="32"/>
        </w:rPr>
        <w:tab/>
      </w:r>
      <w:r>
        <w:rPr>
          <w:rFonts w:ascii="仿宋_GB2312" w:eastAsia="仿宋_GB2312"/>
          <w:color w:val="333333"/>
          <w:sz w:val="32"/>
          <w:szCs w:val="32"/>
        </w:rPr>
        <w:t>真：</w:t>
      </w:r>
      <w:r>
        <w:rPr>
          <w:rFonts w:ascii="仿宋_GB2312" w:eastAsia="仿宋_GB2312"/>
          <w:color w:val="333333"/>
          <w:sz w:val="32"/>
          <w:szCs w:val="32"/>
        </w:rPr>
        <w:t>85829384</w:t>
      </w:r>
      <w:r>
        <w:rPr>
          <w:rFonts w:ascii="仿宋_GB2312" w:eastAsia="仿宋_GB2312"/>
          <w:color w:val="333333"/>
          <w:sz w:val="32"/>
          <w:szCs w:val="32"/>
        </w:rPr>
        <w:t>（传真）</w:t>
      </w:r>
    </w:p>
    <w:p w:rsidR="00D045FD" w:rsidRDefault="00E668A9">
      <w:pPr>
        <w:pStyle w:val="a3"/>
        <w:spacing w:line="560" w:lineRule="exact"/>
        <w:ind w:firstLine="600"/>
        <w:jc w:val="both"/>
        <w:rPr>
          <w:color w:val="333333"/>
        </w:rPr>
      </w:pPr>
      <w:r>
        <w:rPr>
          <w:rFonts w:ascii="仿宋_GB2312" w:eastAsia="仿宋_GB2312"/>
          <w:color w:val="333333"/>
          <w:sz w:val="32"/>
          <w:szCs w:val="32"/>
        </w:rPr>
        <w:t>电子邮箱：</w:t>
      </w:r>
      <w:hyperlink r:id="rId5" w:history="1">
        <w:r>
          <w:rPr>
            <w:rFonts w:ascii="仿宋_GB2312" w:eastAsia="仿宋_GB2312"/>
            <w:color w:val="333333"/>
            <w:sz w:val="32"/>
            <w:szCs w:val="32"/>
          </w:rPr>
          <w:t>295267530@qq.com</w:t>
        </w:r>
      </w:hyperlink>
    </w:p>
    <w:p w:rsidR="00D045FD" w:rsidRDefault="00E668A9">
      <w:pPr>
        <w:pStyle w:val="2"/>
        <w:spacing w:before="95"/>
        <w:ind w:left="0" w:right="2532"/>
        <w:jc w:val="center"/>
        <w:rPr>
          <w:rFonts w:cs="宋体"/>
          <w:b w:val="0"/>
          <w:bCs w:val="0"/>
        </w:rPr>
      </w:pPr>
      <w:r>
        <w:rPr>
          <w:color w:val="333333"/>
          <w:w w:val="99"/>
        </w:rPr>
        <w:t xml:space="preserve"> </w:t>
      </w:r>
    </w:p>
    <w:p w:rsidR="00D045FD" w:rsidRDefault="00D045FD">
      <w:pPr>
        <w:jc w:val="center"/>
        <w:rPr>
          <w:rFonts w:ascii="宋体" w:cs="宋体"/>
        </w:rPr>
        <w:sectPr w:rsidR="00D045FD">
          <w:type w:val="continuous"/>
          <w:pgSz w:w="11910" w:h="16840"/>
          <w:pgMar w:top="1460" w:right="1540" w:bottom="280" w:left="1680" w:header="720" w:footer="720" w:gutter="0"/>
          <w:cols w:space="720"/>
          <w:docGrid w:linePitch="312"/>
        </w:sectPr>
      </w:pPr>
    </w:p>
    <w:p w:rsidR="00D045FD" w:rsidRDefault="00E668A9">
      <w:pPr>
        <w:snapToGrid w:val="0"/>
        <w:spacing w:line="360" w:lineRule="auto"/>
        <w:contextualSpacing/>
        <w:jc w:val="both"/>
        <w:rPr>
          <w:rFonts w:ascii="宋体" w:cs="Times New Roman"/>
          <w:b/>
          <w:bCs/>
          <w:kern w:val="2"/>
          <w:sz w:val="32"/>
          <w:szCs w:val="28"/>
        </w:rPr>
      </w:pPr>
      <w:r>
        <w:rPr>
          <w:rFonts w:ascii="宋体" w:cs="Times New Roman"/>
          <w:b/>
          <w:bCs/>
          <w:kern w:val="2"/>
          <w:sz w:val="32"/>
          <w:szCs w:val="28"/>
        </w:rPr>
        <w:lastRenderedPageBreak/>
        <w:t>一、规划范围</w:t>
      </w:r>
      <w:r>
        <w:rPr>
          <w:rFonts w:ascii="宋体" w:cs="Times New Roman"/>
          <w:b/>
          <w:bCs/>
          <w:kern w:val="2"/>
          <w:sz w:val="32"/>
          <w:szCs w:val="28"/>
        </w:rPr>
        <w:t xml:space="preserve"> </w:t>
      </w:r>
    </w:p>
    <w:p w:rsidR="00D045FD" w:rsidRDefault="00E668A9">
      <w:pPr>
        <w:snapToGrid w:val="0"/>
        <w:spacing w:line="360" w:lineRule="auto"/>
        <w:ind w:firstLineChars="200" w:firstLine="560"/>
        <w:contextualSpacing/>
        <w:jc w:val="both"/>
        <w:rPr>
          <w:rFonts w:ascii="宋体" w:cs="Times New Roman"/>
          <w:bCs/>
          <w:kern w:val="2"/>
          <w:sz w:val="28"/>
          <w:szCs w:val="28"/>
        </w:rPr>
      </w:pPr>
      <w:r>
        <w:rPr>
          <w:rFonts w:ascii="宋体" w:cs="Times New Roman" w:hint="eastAsia"/>
          <w:bCs/>
          <w:kern w:val="2"/>
          <w:sz w:val="28"/>
          <w:szCs w:val="28"/>
        </w:rPr>
        <w:t>BY-11-05</w:t>
      </w:r>
      <w:r>
        <w:rPr>
          <w:rFonts w:ascii="宋体" w:cs="Times New Roman" w:hint="eastAsia"/>
          <w:bCs/>
          <w:kern w:val="2"/>
          <w:sz w:val="28"/>
          <w:szCs w:val="28"/>
        </w:rPr>
        <w:t>地块南至白云南路，北至大氧南路，东至同城大道，西至嘉园大道，地块总用地面积</w:t>
      </w:r>
      <w:r>
        <w:rPr>
          <w:rFonts w:ascii="宋体" w:cs="Times New Roman" w:hint="eastAsia"/>
          <w:bCs/>
          <w:kern w:val="2"/>
          <w:sz w:val="28"/>
          <w:szCs w:val="28"/>
        </w:rPr>
        <w:t>59.16</w:t>
      </w:r>
      <w:r>
        <w:rPr>
          <w:rFonts w:ascii="宋体" w:cs="Times New Roman" w:hint="eastAsia"/>
          <w:bCs/>
          <w:kern w:val="2"/>
          <w:sz w:val="28"/>
          <w:szCs w:val="28"/>
        </w:rPr>
        <w:t>公顷。</w:t>
      </w:r>
    </w:p>
    <w:p w:rsidR="00D045FD" w:rsidRDefault="00E668A9">
      <w:pPr>
        <w:snapToGrid w:val="0"/>
        <w:spacing w:line="360" w:lineRule="auto"/>
        <w:ind w:firstLineChars="200" w:firstLine="560"/>
        <w:contextualSpacing/>
        <w:jc w:val="both"/>
        <w:rPr>
          <w:rFonts w:ascii="宋体" w:cs="Times New Roman"/>
          <w:bCs/>
          <w:kern w:val="2"/>
          <w:sz w:val="28"/>
          <w:szCs w:val="28"/>
        </w:rPr>
      </w:pPr>
      <w:r>
        <w:rPr>
          <w:rFonts w:ascii="宋体" w:cs="Times New Roman" w:hint="eastAsia"/>
          <w:bCs/>
          <w:kern w:val="2"/>
          <w:sz w:val="28"/>
          <w:szCs w:val="28"/>
        </w:rPr>
        <w:t>本次规划调整地块为</w:t>
      </w:r>
      <w:r>
        <w:rPr>
          <w:rFonts w:ascii="宋体" w:cs="Times New Roman" w:hint="eastAsia"/>
          <w:bCs/>
          <w:kern w:val="2"/>
          <w:sz w:val="28"/>
          <w:szCs w:val="28"/>
        </w:rPr>
        <w:t>B</w:t>
      </w:r>
      <w:r>
        <w:rPr>
          <w:rFonts w:ascii="宋体" w:cs="Times New Roman"/>
          <w:bCs/>
          <w:kern w:val="2"/>
          <w:sz w:val="28"/>
          <w:szCs w:val="28"/>
        </w:rPr>
        <w:t>Y-11-05-01</w:t>
      </w:r>
      <w:r>
        <w:rPr>
          <w:rFonts w:ascii="宋体" w:cs="Times New Roman" w:hint="eastAsia"/>
          <w:bCs/>
          <w:kern w:val="2"/>
          <w:sz w:val="28"/>
          <w:szCs w:val="28"/>
        </w:rPr>
        <w:t>地块，涉及调整用地面积</w:t>
      </w:r>
      <w:r>
        <w:rPr>
          <w:rFonts w:ascii="宋体" w:cs="Times New Roman" w:hint="eastAsia"/>
          <w:bCs/>
          <w:kern w:val="2"/>
          <w:sz w:val="28"/>
          <w:szCs w:val="28"/>
        </w:rPr>
        <w:t>6</w:t>
      </w:r>
      <w:r>
        <w:rPr>
          <w:rFonts w:ascii="宋体" w:cs="Times New Roman"/>
          <w:bCs/>
          <w:kern w:val="2"/>
          <w:sz w:val="28"/>
          <w:szCs w:val="28"/>
        </w:rPr>
        <w:t>.85</w:t>
      </w:r>
      <w:r>
        <w:rPr>
          <w:rFonts w:ascii="宋体" w:cs="Times New Roman" w:hint="eastAsia"/>
          <w:bCs/>
          <w:kern w:val="2"/>
          <w:sz w:val="28"/>
          <w:szCs w:val="28"/>
        </w:rPr>
        <w:t>公顷。</w:t>
      </w:r>
    </w:p>
    <w:p w:rsidR="00D045FD" w:rsidRDefault="00E668A9">
      <w:pPr>
        <w:snapToGrid w:val="0"/>
        <w:spacing w:line="360" w:lineRule="auto"/>
        <w:contextualSpacing/>
        <w:jc w:val="both"/>
        <w:rPr>
          <w:rFonts w:ascii="宋体" w:cs="Times New Roman"/>
          <w:b/>
          <w:bCs/>
          <w:kern w:val="2"/>
          <w:sz w:val="32"/>
          <w:szCs w:val="28"/>
        </w:rPr>
      </w:pPr>
      <w:r>
        <w:rPr>
          <w:rFonts w:ascii="宋体" w:cs="Times New Roman"/>
          <w:b/>
          <w:bCs/>
          <w:kern w:val="2"/>
          <w:sz w:val="32"/>
          <w:szCs w:val="28"/>
        </w:rPr>
        <w:t>二、规划</w:t>
      </w:r>
      <w:r>
        <w:rPr>
          <w:rFonts w:ascii="宋体" w:cs="Times New Roman" w:hint="eastAsia"/>
          <w:b/>
          <w:bCs/>
          <w:kern w:val="2"/>
          <w:sz w:val="32"/>
          <w:szCs w:val="28"/>
        </w:rPr>
        <w:t>调整内容</w:t>
      </w:r>
    </w:p>
    <w:p w:rsidR="00D045FD" w:rsidRDefault="00E668A9">
      <w:pPr>
        <w:snapToGrid w:val="0"/>
        <w:spacing w:line="360" w:lineRule="auto"/>
        <w:ind w:firstLineChars="200" w:firstLine="560"/>
        <w:contextualSpacing/>
        <w:jc w:val="both"/>
        <w:rPr>
          <w:rFonts w:ascii="宋体" w:cs="Times New Roman"/>
          <w:bCs/>
          <w:kern w:val="2"/>
          <w:sz w:val="28"/>
          <w:szCs w:val="28"/>
        </w:rPr>
      </w:pPr>
      <w:r>
        <w:rPr>
          <w:rFonts w:ascii="宋体" w:cs="Times New Roman" w:hint="eastAsia"/>
          <w:bCs/>
          <w:kern w:val="2"/>
          <w:sz w:val="28"/>
          <w:szCs w:val="28"/>
        </w:rPr>
        <w:t>（</w:t>
      </w:r>
      <w:r>
        <w:rPr>
          <w:rFonts w:ascii="宋体" w:cs="Times New Roman" w:hint="eastAsia"/>
          <w:bCs/>
          <w:kern w:val="2"/>
          <w:sz w:val="28"/>
          <w:szCs w:val="28"/>
        </w:rPr>
        <w:t>1</w:t>
      </w:r>
      <w:r>
        <w:rPr>
          <w:rFonts w:ascii="宋体" w:cs="Times New Roman" w:hint="eastAsia"/>
          <w:bCs/>
          <w:kern w:val="2"/>
          <w:sz w:val="28"/>
          <w:szCs w:val="28"/>
        </w:rPr>
        <w:t>）将</w:t>
      </w:r>
      <w:r>
        <w:rPr>
          <w:rFonts w:ascii="宋体" w:cs="Times New Roman" w:hint="eastAsia"/>
          <w:bCs/>
          <w:kern w:val="2"/>
          <w:sz w:val="28"/>
          <w:szCs w:val="28"/>
        </w:rPr>
        <w:t>BY-11-05-01</w:t>
      </w:r>
      <w:r>
        <w:rPr>
          <w:rFonts w:ascii="宋体" w:cs="Times New Roman" w:hint="eastAsia"/>
          <w:bCs/>
          <w:kern w:val="2"/>
          <w:sz w:val="28"/>
          <w:szCs w:val="28"/>
        </w:rPr>
        <w:t>地块西北角</w:t>
      </w:r>
      <w:r>
        <w:rPr>
          <w:rFonts w:ascii="宋体" w:cs="Times New Roman" w:hint="eastAsia"/>
          <w:bCs/>
          <w:kern w:val="2"/>
          <w:sz w:val="28"/>
          <w:szCs w:val="28"/>
        </w:rPr>
        <w:t>0.54</w:t>
      </w:r>
      <w:r>
        <w:rPr>
          <w:rFonts w:ascii="宋体" w:cs="Times New Roman" w:hint="eastAsia"/>
          <w:bCs/>
          <w:kern w:val="2"/>
          <w:sz w:val="28"/>
          <w:szCs w:val="28"/>
        </w:rPr>
        <w:t>公顷用地划分出来，新编为</w:t>
      </w:r>
      <w:r>
        <w:rPr>
          <w:rFonts w:ascii="宋体" w:cs="Times New Roman" w:hint="eastAsia"/>
          <w:bCs/>
          <w:kern w:val="2"/>
          <w:sz w:val="28"/>
          <w:szCs w:val="28"/>
        </w:rPr>
        <w:t>BY-11-05-10</w:t>
      </w:r>
      <w:r>
        <w:rPr>
          <w:rFonts w:ascii="宋体" w:cs="Times New Roman" w:hint="eastAsia"/>
          <w:bCs/>
          <w:kern w:val="2"/>
          <w:sz w:val="28"/>
          <w:szCs w:val="28"/>
        </w:rPr>
        <w:t>地块，用地性质为商务用地（</w:t>
      </w:r>
      <w:r>
        <w:rPr>
          <w:rFonts w:ascii="宋体" w:cs="Times New Roman" w:hint="eastAsia"/>
          <w:bCs/>
          <w:kern w:val="2"/>
          <w:sz w:val="28"/>
          <w:szCs w:val="28"/>
        </w:rPr>
        <w:t>B2</w:t>
      </w:r>
      <w:r>
        <w:rPr>
          <w:rFonts w:ascii="宋体" w:cs="Times New Roman" w:hint="eastAsia"/>
          <w:bCs/>
          <w:kern w:val="2"/>
          <w:sz w:val="28"/>
          <w:szCs w:val="28"/>
        </w:rPr>
        <w:t>）。</w:t>
      </w:r>
    </w:p>
    <w:p w:rsidR="00D045FD" w:rsidRDefault="00E668A9">
      <w:pPr>
        <w:snapToGrid w:val="0"/>
        <w:spacing w:line="360" w:lineRule="auto"/>
        <w:ind w:firstLineChars="200" w:firstLine="560"/>
        <w:contextualSpacing/>
        <w:jc w:val="both"/>
        <w:rPr>
          <w:rFonts w:ascii="宋体" w:cs="Times New Roman"/>
          <w:bCs/>
          <w:kern w:val="2"/>
          <w:sz w:val="28"/>
          <w:szCs w:val="28"/>
        </w:rPr>
      </w:pPr>
      <w:r>
        <w:rPr>
          <w:rFonts w:ascii="宋体" w:cs="Times New Roman" w:hint="eastAsia"/>
          <w:bCs/>
          <w:kern w:val="2"/>
          <w:sz w:val="28"/>
          <w:szCs w:val="28"/>
        </w:rPr>
        <w:t>（</w:t>
      </w:r>
      <w:r>
        <w:rPr>
          <w:rFonts w:ascii="宋体" w:cs="Times New Roman" w:hint="eastAsia"/>
          <w:bCs/>
          <w:kern w:val="2"/>
          <w:sz w:val="28"/>
          <w:szCs w:val="28"/>
        </w:rPr>
        <w:t>2</w:t>
      </w:r>
      <w:r>
        <w:rPr>
          <w:rFonts w:ascii="宋体" w:cs="Times New Roman" w:hint="eastAsia"/>
          <w:bCs/>
          <w:kern w:val="2"/>
          <w:sz w:val="28"/>
          <w:szCs w:val="28"/>
        </w:rPr>
        <w:t>）调整地块内弹性支路线型，提升对周边地块的交通服务能力。</w:t>
      </w:r>
    </w:p>
    <w:p w:rsidR="00D045FD" w:rsidRDefault="00E668A9">
      <w:pPr>
        <w:snapToGrid w:val="0"/>
        <w:spacing w:line="360" w:lineRule="auto"/>
        <w:ind w:firstLineChars="200" w:firstLine="560"/>
        <w:contextualSpacing/>
        <w:jc w:val="both"/>
        <w:rPr>
          <w:rFonts w:ascii="宋体" w:cs="Times New Roman"/>
          <w:bCs/>
          <w:kern w:val="2"/>
          <w:sz w:val="28"/>
          <w:szCs w:val="28"/>
        </w:rPr>
      </w:pPr>
      <w:r>
        <w:rPr>
          <w:rFonts w:ascii="宋体" w:cs="Times New Roman" w:hint="eastAsia"/>
          <w:bCs/>
          <w:kern w:val="2"/>
          <w:sz w:val="28"/>
          <w:szCs w:val="28"/>
        </w:rPr>
        <w:t>（</w:t>
      </w:r>
      <w:r>
        <w:rPr>
          <w:rFonts w:ascii="宋体" w:cs="Times New Roman" w:hint="eastAsia"/>
          <w:bCs/>
          <w:kern w:val="2"/>
          <w:sz w:val="28"/>
          <w:szCs w:val="28"/>
        </w:rPr>
        <w:t>3</w:t>
      </w:r>
      <w:r>
        <w:rPr>
          <w:rFonts w:ascii="宋体" w:cs="Times New Roman" w:hint="eastAsia"/>
          <w:bCs/>
          <w:kern w:val="2"/>
          <w:sz w:val="28"/>
          <w:szCs w:val="28"/>
        </w:rPr>
        <w:t>）</w:t>
      </w:r>
      <w:r>
        <w:rPr>
          <w:rFonts w:ascii="宋体" w:cs="Times New Roman" w:hint="eastAsia"/>
          <w:bCs/>
          <w:kern w:val="2"/>
          <w:sz w:val="28"/>
          <w:szCs w:val="28"/>
        </w:rPr>
        <w:t>BY-11-05-01</w:t>
      </w:r>
      <w:r>
        <w:rPr>
          <w:rFonts w:ascii="宋体" w:cs="Times New Roman" w:hint="eastAsia"/>
          <w:bCs/>
          <w:kern w:val="2"/>
          <w:sz w:val="28"/>
          <w:szCs w:val="28"/>
        </w:rPr>
        <w:t>地块用地面积由</w:t>
      </w:r>
      <w:r>
        <w:rPr>
          <w:rFonts w:ascii="宋体" w:cs="Times New Roman" w:hint="eastAsia"/>
          <w:bCs/>
          <w:kern w:val="2"/>
          <w:sz w:val="28"/>
          <w:szCs w:val="28"/>
        </w:rPr>
        <w:t>6.85</w:t>
      </w:r>
      <w:r>
        <w:rPr>
          <w:rFonts w:ascii="宋体" w:cs="Times New Roman" w:hint="eastAsia"/>
          <w:bCs/>
          <w:kern w:val="2"/>
          <w:sz w:val="28"/>
          <w:szCs w:val="28"/>
        </w:rPr>
        <w:t>公顷调整为</w:t>
      </w:r>
      <w:r>
        <w:rPr>
          <w:rFonts w:ascii="宋体" w:cs="Times New Roman" w:hint="eastAsia"/>
          <w:bCs/>
          <w:kern w:val="2"/>
          <w:sz w:val="28"/>
          <w:szCs w:val="28"/>
        </w:rPr>
        <w:t>6.31</w:t>
      </w:r>
      <w:r>
        <w:rPr>
          <w:rFonts w:ascii="宋体" w:cs="Times New Roman" w:hint="eastAsia"/>
          <w:bCs/>
          <w:kern w:val="2"/>
          <w:sz w:val="28"/>
          <w:szCs w:val="28"/>
        </w:rPr>
        <w:t>公顷，其余指标与已批控规一致。</w:t>
      </w:r>
    </w:p>
    <w:p w:rsidR="00D045FD" w:rsidRDefault="00E668A9">
      <w:pPr>
        <w:snapToGrid w:val="0"/>
        <w:spacing w:line="360" w:lineRule="auto"/>
        <w:ind w:firstLineChars="200" w:firstLine="560"/>
        <w:contextualSpacing/>
        <w:jc w:val="both"/>
        <w:rPr>
          <w:rFonts w:ascii="宋体" w:cs="Times New Roman"/>
          <w:bCs/>
          <w:kern w:val="2"/>
          <w:sz w:val="28"/>
          <w:szCs w:val="28"/>
        </w:rPr>
      </w:pPr>
      <w:r>
        <w:rPr>
          <w:rFonts w:ascii="宋体" w:cs="Times New Roman" w:hint="eastAsia"/>
          <w:bCs/>
          <w:kern w:val="2"/>
          <w:sz w:val="28"/>
          <w:szCs w:val="28"/>
        </w:rPr>
        <w:t>（</w:t>
      </w:r>
      <w:r>
        <w:rPr>
          <w:rFonts w:ascii="宋体" w:cs="Times New Roman" w:hint="eastAsia"/>
          <w:bCs/>
          <w:kern w:val="2"/>
          <w:sz w:val="28"/>
          <w:szCs w:val="28"/>
        </w:rPr>
        <w:t>4</w:t>
      </w:r>
      <w:r>
        <w:rPr>
          <w:rFonts w:ascii="宋体" w:cs="Times New Roman" w:hint="eastAsia"/>
          <w:bCs/>
          <w:kern w:val="2"/>
          <w:sz w:val="28"/>
          <w:szCs w:val="28"/>
        </w:rPr>
        <w:t>）</w:t>
      </w:r>
      <w:r>
        <w:rPr>
          <w:rFonts w:ascii="宋体" w:cs="Times New Roman" w:hint="eastAsia"/>
          <w:bCs/>
          <w:kern w:val="2"/>
          <w:sz w:val="28"/>
          <w:szCs w:val="28"/>
        </w:rPr>
        <w:t>BY-11-05-10</w:t>
      </w:r>
      <w:r>
        <w:rPr>
          <w:rFonts w:ascii="宋体" w:cs="Times New Roman" w:hint="eastAsia"/>
          <w:bCs/>
          <w:kern w:val="2"/>
          <w:sz w:val="28"/>
          <w:szCs w:val="28"/>
        </w:rPr>
        <w:t>地块指标为：用地面积</w:t>
      </w:r>
      <w:r>
        <w:rPr>
          <w:rFonts w:ascii="宋体" w:cs="Times New Roman" w:hint="eastAsia"/>
          <w:bCs/>
          <w:kern w:val="2"/>
          <w:sz w:val="28"/>
          <w:szCs w:val="28"/>
        </w:rPr>
        <w:t>0.54</w:t>
      </w:r>
      <w:r>
        <w:rPr>
          <w:rFonts w:ascii="宋体" w:cs="Times New Roman" w:hint="eastAsia"/>
          <w:bCs/>
          <w:kern w:val="2"/>
          <w:sz w:val="28"/>
          <w:szCs w:val="28"/>
        </w:rPr>
        <w:t>公顷，容积率</w:t>
      </w:r>
      <w:r>
        <w:rPr>
          <w:rFonts w:ascii="宋体" w:cs="Times New Roman" w:hint="eastAsia"/>
          <w:bCs/>
          <w:kern w:val="2"/>
          <w:sz w:val="28"/>
          <w:szCs w:val="28"/>
        </w:rPr>
        <w:t>3.0</w:t>
      </w:r>
      <w:r>
        <w:rPr>
          <w:rFonts w:ascii="宋体" w:cs="Times New Roman" w:hint="eastAsia"/>
          <w:bCs/>
          <w:kern w:val="2"/>
          <w:sz w:val="28"/>
          <w:szCs w:val="28"/>
        </w:rPr>
        <w:t>，建筑密度≤</w:t>
      </w:r>
      <w:r>
        <w:rPr>
          <w:rFonts w:ascii="宋体" w:cs="Times New Roman" w:hint="eastAsia"/>
          <w:bCs/>
          <w:kern w:val="2"/>
          <w:sz w:val="28"/>
          <w:szCs w:val="28"/>
        </w:rPr>
        <w:t>40%</w:t>
      </w:r>
      <w:r>
        <w:rPr>
          <w:rFonts w:ascii="宋体" w:cs="Times New Roman" w:hint="eastAsia"/>
          <w:bCs/>
          <w:kern w:val="2"/>
          <w:sz w:val="28"/>
          <w:szCs w:val="28"/>
        </w:rPr>
        <w:t>，绿地率≥</w:t>
      </w:r>
      <w:r>
        <w:rPr>
          <w:rFonts w:ascii="宋体" w:cs="Times New Roman" w:hint="eastAsia"/>
          <w:bCs/>
          <w:kern w:val="2"/>
          <w:sz w:val="28"/>
          <w:szCs w:val="28"/>
        </w:rPr>
        <w:t>20%</w:t>
      </w:r>
      <w:r>
        <w:rPr>
          <w:rFonts w:ascii="宋体" w:cs="Times New Roman" w:hint="eastAsia"/>
          <w:bCs/>
          <w:kern w:val="2"/>
          <w:sz w:val="28"/>
          <w:szCs w:val="28"/>
        </w:rPr>
        <w:t>，建筑限高</w:t>
      </w:r>
      <w:r>
        <w:rPr>
          <w:rFonts w:ascii="宋体" w:cs="Times New Roman" w:hint="eastAsia"/>
          <w:bCs/>
          <w:kern w:val="2"/>
          <w:sz w:val="28"/>
          <w:szCs w:val="28"/>
        </w:rPr>
        <w:t>80M</w:t>
      </w:r>
      <w:r>
        <w:rPr>
          <w:rFonts w:ascii="宋体" w:cs="Times New Roman" w:hint="eastAsia"/>
          <w:bCs/>
          <w:kern w:val="2"/>
          <w:sz w:val="28"/>
          <w:szCs w:val="28"/>
        </w:rPr>
        <w:t>。</w:t>
      </w:r>
    </w:p>
    <w:p w:rsidR="00D045FD" w:rsidRDefault="00E668A9">
      <w:pPr>
        <w:snapToGrid w:val="0"/>
        <w:spacing w:line="360" w:lineRule="auto"/>
        <w:contextualSpacing/>
        <w:jc w:val="both"/>
        <w:rPr>
          <w:rFonts w:ascii="宋体" w:cs="Times New Roman"/>
          <w:b/>
          <w:bCs/>
          <w:kern w:val="2"/>
          <w:sz w:val="32"/>
          <w:szCs w:val="28"/>
        </w:rPr>
      </w:pPr>
      <w:r>
        <w:rPr>
          <w:rFonts w:ascii="宋体" w:cs="Times New Roman"/>
          <w:b/>
          <w:bCs/>
          <w:kern w:val="2"/>
          <w:sz w:val="32"/>
          <w:szCs w:val="28"/>
        </w:rPr>
        <w:t>三、</w:t>
      </w:r>
      <w:r>
        <w:rPr>
          <w:rFonts w:ascii="宋体" w:cs="Times New Roman" w:hint="eastAsia"/>
          <w:b/>
          <w:bCs/>
          <w:kern w:val="2"/>
          <w:sz w:val="32"/>
          <w:szCs w:val="28"/>
        </w:rPr>
        <w:t>规划调整</w:t>
      </w:r>
      <w:r>
        <w:rPr>
          <w:rFonts w:ascii="宋体" w:cs="Times New Roman"/>
          <w:b/>
          <w:bCs/>
          <w:kern w:val="2"/>
          <w:sz w:val="32"/>
          <w:szCs w:val="28"/>
        </w:rPr>
        <w:t>指标</w:t>
      </w:r>
      <w:r>
        <w:rPr>
          <w:rFonts w:ascii="宋体" w:cs="Times New Roman"/>
          <w:b/>
          <w:bCs/>
          <w:kern w:val="2"/>
          <w:sz w:val="32"/>
          <w:szCs w:val="28"/>
        </w:rPr>
        <w:t xml:space="preserve"> </w:t>
      </w:r>
    </w:p>
    <w:tbl>
      <w:tblPr>
        <w:tblW w:w="9053" w:type="dxa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572"/>
        <w:gridCol w:w="617"/>
        <w:gridCol w:w="567"/>
        <w:gridCol w:w="804"/>
        <w:gridCol w:w="709"/>
        <w:gridCol w:w="705"/>
        <w:gridCol w:w="567"/>
        <w:gridCol w:w="567"/>
        <w:gridCol w:w="708"/>
        <w:gridCol w:w="1997"/>
      </w:tblGrid>
      <w:tr w:rsidR="00D045FD">
        <w:trPr>
          <w:trHeight w:val="57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地块编号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地块性质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分类代码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地块规划</w:t>
            </w:r>
            <w:r>
              <w:rPr>
                <w:rFonts w:cs="宋体" w:hint="eastAsia"/>
                <w:b/>
                <w:bCs/>
                <w:sz w:val="22"/>
              </w:rPr>
              <w:br/>
            </w:r>
            <w:r>
              <w:rPr>
                <w:rFonts w:cs="宋体" w:hint="eastAsia"/>
                <w:b/>
                <w:bCs/>
                <w:sz w:val="22"/>
              </w:rPr>
              <w:t>说明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规划用地面积</w:t>
            </w:r>
            <w:r>
              <w:rPr>
                <w:rFonts w:cs="宋体" w:hint="eastAsia"/>
                <w:b/>
                <w:bCs/>
                <w:sz w:val="22"/>
              </w:rPr>
              <w:t>(ha)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容积率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绿地率</w:t>
            </w:r>
            <w:r>
              <w:rPr>
                <w:rFonts w:cs="宋体" w:hint="eastAsia"/>
                <w:b/>
                <w:bCs/>
                <w:sz w:val="22"/>
              </w:rPr>
              <w:t>(%)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建筑密度</w:t>
            </w:r>
            <w:r>
              <w:rPr>
                <w:rFonts w:cs="宋体" w:hint="eastAsia"/>
                <w:b/>
                <w:bCs/>
                <w:sz w:val="22"/>
              </w:rPr>
              <w:t>(%)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建筑限高</w:t>
            </w:r>
            <w:r>
              <w:rPr>
                <w:rFonts w:cs="宋体" w:hint="eastAsia"/>
                <w:b/>
                <w:bCs/>
                <w:sz w:val="22"/>
              </w:rPr>
              <w:t>(M)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主出入口方向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3"/>
              <w:adjustRightInd w:val="0"/>
              <w:snapToGrid w:val="0"/>
              <w:spacing w:before="0"/>
              <w:ind w:left="0"/>
              <w:jc w:val="center"/>
              <w:rPr>
                <w:rFonts w:cs="宋体"/>
                <w:b/>
                <w:bCs/>
                <w:sz w:val="22"/>
              </w:rPr>
            </w:pPr>
            <w:r>
              <w:rPr>
                <w:rFonts w:cs="宋体" w:hint="eastAsia"/>
                <w:b/>
                <w:bCs/>
                <w:sz w:val="22"/>
              </w:rPr>
              <w:t>兼容建筑及配套设施要求</w:t>
            </w:r>
          </w:p>
        </w:tc>
      </w:tr>
      <w:tr w:rsidR="00D045FD">
        <w:trPr>
          <w:trHeight w:val="828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BY-11-05-01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商务用地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B2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微软雅黑" w:eastAsia="微软雅黑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6.</w:t>
            </w:r>
            <w:r>
              <w:rPr>
                <w:rFonts w:ascii="微软雅黑" w:eastAsia="微软雅黑" w:cs="Arial"/>
                <w:color w:val="000000"/>
                <w:kern w:val="24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1.65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S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 xml:space="preserve">　兼容建筑：商业建筑比例</w:t>
            </w: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30%</w:t>
            </w: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，娱乐康体建筑</w:t>
            </w: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18%</w:t>
            </w: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。保留现状八角楼调度站，作为工业记忆元素。</w:t>
            </w:r>
          </w:p>
        </w:tc>
      </w:tr>
      <w:tr w:rsidR="00D045FD">
        <w:trPr>
          <w:trHeight w:val="828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BY-11-05-10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商务用地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B2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0.54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3.0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80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E668A9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微软雅黑" w:eastAsia="微软雅黑" w:cs="Arial" w:hint="eastAsia"/>
                <w:color w:val="000000"/>
                <w:kern w:val="24"/>
                <w:sz w:val="20"/>
                <w:szCs w:val="20"/>
              </w:rPr>
              <w:t>w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D045FD" w:rsidRDefault="00D045FD">
            <w:pPr>
              <w:adjustRightInd w:val="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045FD" w:rsidRDefault="00D045FD">
      <w:pPr>
        <w:pStyle w:val="a3"/>
        <w:spacing w:before="128"/>
        <w:ind w:right="100"/>
        <w:rPr>
          <w:rFonts w:ascii="宋体" w:eastAsia="宋体" w:cs="宋体"/>
          <w:sz w:val="20"/>
          <w:szCs w:val="20"/>
        </w:rPr>
        <w:sectPr w:rsidR="00D045FD">
          <w:pgSz w:w="11910" w:h="16840"/>
          <w:pgMar w:top="1500" w:right="1680" w:bottom="280" w:left="1680" w:header="720" w:footer="720" w:gutter="0"/>
          <w:cols w:space="720"/>
          <w:docGrid w:linePitch="312"/>
        </w:sectPr>
      </w:pPr>
    </w:p>
    <w:p w:rsidR="00D045FD" w:rsidRDefault="00E668A9">
      <w:pPr>
        <w:rPr>
          <w:rFonts w:ascii="宋体" w:cs="宋体"/>
          <w:sz w:val="20"/>
          <w:szCs w:val="20"/>
        </w:rPr>
      </w:pPr>
      <w:r>
        <w:rPr>
          <w:rFonts w:ascii="宋体" w:cs="宋体"/>
          <w:noProof/>
          <w:sz w:val="20"/>
          <w:szCs w:val="20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124175</wp:posOffset>
            </wp:positionV>
            <wp:extent cx="19926300" cy="14090650"/>
            <wp:effectExtent l="0" t="0" r="0" b="0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0" cy="140906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sectPr w:rsidR="00D045FD">
      <w:pgSz w:w="31660" w:h="22400" w:orient="landscape"/>
      <w:pgMar w:top="0" w:right="0" w:bottom="0" w:left="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Microsoft YaHei UI"/>
    <w:charset w:val="86"/>
    <w:family w:val="script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trackRevisions/>
  <w:defaultTabStop w:val="720"/>
  <w:drawingGridHorizontalSpacing w:val="110"/>
  <w:drawingGridVerticalSpacing w:val="156"/>
  <w:displayHorizontalDrawingGridEvery w:val="2"/>
  <w:characterSpacingControl w:val="doNotCompress"/>
  <w:savePreviewPicture/>
  <w:compat>
    <w:spaceForUL/>
    <w:ulTrailSpace/>
    <w:useFELayout/>
    <w:compatSetting w:name="compatibilityMode" w:uri="http://schemas.microsoft.com/office/word" w:val="14"/>
  </w:compat>
  <w:rsids>
    <w:rsidRoot w:val="00D045FD"/>
    <w:rsid w:val="00D045FD"/>
    <w:rsid w:val="00E6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hAnsi="Calibri" w:cs="Arial"/>
      <w:sz w:val="22"/>
      <w:szCs w:val="22"/>
    </w:rPr>
  </w:style>
  <w:style w:type="paragraph" w:styleId="1">
    <w:name w:val="heading 1"/>
    <w:basedOn w:val="a"/>
    <w:pPr>
      <w:ind w:left="256" w:hanging="905"/>
      <w:outlineLvl w:val="0"/>
    </w:pPr>
    <w:rPr>
      <w:rFonts w:ascii="黑体" w:eastAsia="黑体"/>
      <w:b/>
      <w:bCs/>
      <w:sz w:val="40"/>
      <w:szCs w:val="40"/>
    </w:rPr>
  </w:style>
  <w:style w:type="paragraph" w:styleId="2">
    <w:name w:val="heading 2"/>
    <w:basedOn w:val="a"/>
    <w:pPr>
      <w:ind w:left="120"/>
      <w:outlineLvl w:val="1"/>
    </w:pPr>
    <w:rPr>
      <w:rFonts w:ascii="宋体"/>
      <w:b/>
      <w:bCs/>
      <w:sz w:val="30"/>
      <w:szCs w:val="30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2"/>
      <w:ind w:left="120"/>
    </w:pPr>
    <w:rPr>
      <w:rFonts w:ascii="微软雅黑" w:eastAsia="微软雅黑"/>
      <w:sz w:val="30"/>
      <w:szCs w:val="30"/>
    </w:rPr>
  </w:style>
  <w:style w:type="paragraph" w:styleId="a4">
    <w:name w:val="List Paragraph"/>
    <w:basedOn w:val="a"/>
  </w:style>
  <w:style w:type="paragraph" w:customStyle="1" w:styleId="TableParagraph">
    <w:name w:val="Table Paragraph"/>
    <w:basedOn w:val="a"/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</w:pPr>
    <w:rPr>
      <w:rFonts w:ascii="宋体" w:cs="宋体"/>
      <w:sz w:val="24"/>
      <w:szCs w:val="24"/>
    </w:rPr>
  </w:style>
  <w:style w:type="paragraph" w:styleId="10">
    <w:name w:val="toc 1"/>
    <w:basedOn w:val="a"/>
    <w:next w:val="a"/>
    <w:autoRedefine/>
  </w:style>
  <w:style w:type="paragraph" w:styleId="20">
    <w:name w:val="toc 2"/>
    <w:basedOn w:val="a"/>
    <w:next w:val="a"/>
    <w:autoRedefine/>
    <w:pPr>
      <w:ind w:left="420"/>
    </w:pPr>
  </w:style>
  <w:style w:type="paragraph" w:styleId="30">
    <w:name w:val="toc 3"/>
    <w:basedOn w:val="a"/>
    <w:next w:val="a"/>
    <w:autoRedefine/>
    <w:pPr>
      <w:ind w:left="840"/>
    </w:pPr>
  </w:style>
  <w:style w:type="paragraph" w:styleId="4">
    <w:name w:val="toc 4"/>
    <w:basedOn w:val="a"/>
    <w:next w:val="a"/>
    <w:autoRedefine/>
    <w:pPr>
      <w:ind w:left="1260"/>
    </w:pPr>
  </w:style>
  <w:style w:type="paragraph" w:styleId="5">
    <w:name w:val="toc 5"/>
    <w:basedOn w:val="a"/>
    <w:next w:val="a"/>
    <w:autoRedefine/>
    <w:pPr>
      <w:ind w:left="1680"/>
    </w:pPr>
  </w:style>
  <w:style w:type="paragraph" w:styleId="a9">
    <w:name w:val="Balloon Text"/>
    <w:basedOn w:val="a"/>
    <w:link w:val="Char"/>
    <w:uiPriority w:val="99"/>
    <w:semiHidden/>
    <w:unhideWhenUsed/>
    <w:rsid w:val="00E668A9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E668A9"/>
    <w:rPr>
      <w:rFonts w:ascii="Calibri" w:hAnsi="Calibri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hAnsi="Calibri" w:cs="Arial"/>
      <w:sz w:val="22"/>
      <w:szCs w:val="22"/>
    </w:rPr>
  </w:style>
  <w:style w:type="paragraph" w:styleId="1">
    <w:name w:val="heading 1"/>
    <w:basedOn w:val="a"/>
    <w:pPr>
      <w:ind w:left="256" w:hanging="905"/>
      <w:outlineLvl w:val="0"/>
    </w:pPr>
    <w:rPr>
      <w:rFonts w:ascii="黑体" w:eastAsia="黑体"/>
      <w:b/>
      <w:bCs/>
      <w:sz w:val="40"/>
      <w:szCs w:val="40"/>
    </w:rPr>
  </w:style>
  <w:style w:type="paragraph" w:styleId="2">
    <w:name w:val="heading 2"/>
    <w:basedOn w:val="a"/>
    <w:pPr>
      <w:ind w:left="120"/>
      <w:outlineLvl w:val="1"/>
    </w:pPr>
    <w:rPr>
      <w:rFonts w:ascii="宋体"/>
      <w:b/>
      <w:bCs/>
      <w:sz w:val="30"/>
      <w:szCs w:val="30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2"/>
      <w:ind w:left="120"/>
    </w:pPr>
    <w:rPr>
      <w:rFonts w:ascii="微软雅黑" w:eastAsia="微软雅黑"/>
      <w:sz w:val="30"/>
      <w:szCs w:val="30"/>
    </w:rPr>
  </w:style>
  <w:style w:type="paragraph" w:styleId="a4">
    <w:name w:val="List Paragraph"/>
    <w:basedOn w:val="a"/>
  </w:style>
  <w:style w:type="paragraph" w:customStyle="1" w:styleId="TableParagraph">
    <w:name w:val="Table Paragraph"/>
    <w:basedOn w:val="a"/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</w:pPr>
    <w:rPr>
      <w:rFonts w:ascii="宋体" w:cs="宋体"/>
      <w:sz w:val="24"/>
      <w:szCs w:val="24"/>
    </w:rPr>
  </w:style>
  <w:style w:type="paragraph" w:styleId="10">
    <w:name w:val="toc 1"/>
    <w:basedOn w:val="a"/>
    <w:next w:val="a"/>
    <w:autoRedefine/>
  </w:style>
  <w:style w:type="paragraph" w:styleId="20">
    <w:name w:val="toc 2"/>
    <w:basedOn w:val="a"/>
    <w:next w:val="a"/>
    <w:autoRedefine/>
    <w:pPr>
      <w:ind w:left="420"/>
    </w:pPr>
  </w:style>
  <w:style w:type="paragraph" w:styleId="30">
    <w:name w:val="toc 3"/>
    <w:basedOn w:val="a"/>
    <w:next w:val="a"/>
    <w:autoRedefine/>
    <w:pPr>
      <w:ind w:left="840"/>
    </w:pPr>
  </w:style>
  <w:style w:type="paragraph" w:styleId="4">
    <w:name w:val="toc 4"/>
    <w:basedOn w:val="a"/>
    <w:next w:val="a"/>
    <w:autoRedefine/>
    <w:pPr>
      <w:ind w:left="1260"/>
    </w:pPr>
  </w:style>
  <w:style w:type="paragraph" w:styleId="5">
    <w:name w:val="toc 5"/>
    <w:basedOn w:val="a"/>
    <w:next w:val="a"/>
    <w:autoRedefine/>
    <w:pPr>
      <w:ind w:left="1680"/>
    </w:pPr>
  </w:style>
  <w:style w:type="paragraph" w:styleId="a9">
    <w:name w:val="Balloon Text"/>
    <w:basedOn w:val="a"/>
    <w:link w:val="Char"/>
    <w:uiPriority w:val="99"/>
    <w:semiHidden/>
    <w:unhideWhenUsed/>
    <w:rsid w:val="00E668A9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E668A9"/>
    <w:rPr>
      <w:rFonts w:ascii="Calibri" w:hAnsi="Calibri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295267530@qq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148</Words>
  <Characters>846</Characters>
  <Application>Microsoft Office Word</Application>
  <DocSecurity>0</DocSecurity>
  <Lines>7</Lines>
  <Paragraphs>1</Paragraphs>
  <ScaleCrop>false</ScaleCrop>
  <Company>Microsoft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绰绰珏色</dc:creator>
  <cp:lastModifiedBy>顾俊源</cp:lastModifiedBy>
  <cp:revision>53</cp:revision>
  <dcterms:created xsi:type="dcterms:W3CDTF">2021-03-30T08:38:00Z</dcterms:created>
  <dcterms:modified xsi:type="dcterms:W3CDTF">2023-07-11T08:26:00Z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2021-02-28T16:00:00Z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2021-03-29T16:00:00Z</vt:filetime>
  </property>
</Properties>
</file>