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eastAsia" w:ascii="方正小标宋简体" w:hAnsi="方正小标宋简体" w:eastAsia="方正小标宋简体" w:cs="方正小标宋简体"/>
          <w:b w:val="0"/>
          <w:bCs w:val="0"/>
          <w:sz w:val="44"/>
          <w:szCs w:val="44"/>
        </w:rPr>
      </w:pPr>
      <w:bookmarkStart w:id="0" w:name="OLE_LINK2"/>
      <w:r>
        <w:rPr>
          <w:rFonts w:hint="eastAsia" w:ascii="方正小标宋简体" w:hAnsi="方正小标宋简体" w:eastAsia="方正小标宋简体" w:cs="方正小标宋简体"/>
          <w:b w:val="0"/>
          <w:bCs w:val="0"/>
          <w:sz w:val="44"/>
          <w:szCs w:val="44"/>
        </w:rPr>
        <w:t>贵阳市</w:t>
      </w:r>
      <w:r>
        <w:rPr>
          <w:rFonts w:hint="eastAsia" w:ascii="方正小标宋简体" w:hAnsi="方正小标宋简体" w:eastAsia="方正小标宋简体" w:cs="方正小标宋简体"/>
          <w:b w:val="0"/>
          <w:bCs w:val="0"/>
          <w:sz w:val="44"/>
          <w:szCs w:val="44"/>
          <w:lang w:val="en-US" w:eastAsia="zh-CN"/>
        </w:rPr>
        <w:t>国家</w:t>
      </w:r>
      <w:r>
        <w:rPr>
          <w:rFonts w:hint="eastAsia" w:ascii="方正小标宋简体" w:hAnsi="方正小标宋简体" w:eastAsia="方正小标宋简体" w:cs="方正小标宋简体"/>
          <w:b w:val="0"/>
          <w:bCs w:val="0"/>
          <w:sz w:val="44"/>
          <w:szCs w:val="44"/>
        </w:rPr>
        <w:t>生态</w:t>
      </w:r>
      <w:bookmarkStart w:id="125" w:name="_GoBack"/>
      <w:bookmarkEnd w:id="125"/>
      <w:r>
        <w:rPr>
          <w:rFonts w:hint="eastAsia" w:ascii="方正小标宋简体" w:hAnsi="方正小标宋简体" w:eastAsia="方正小标宋简体" w:cs="方正小标宋简体"/>
          <w:b w:val="0"/>
          <w:bCs w:val="0"/>
          <w:sz w:val="44"/>
          <w:szCs w:val="44"/>
        </w:rPr>
        <w:t>文明建设示范区规划</w:t>
      </w:r>
    </w:p>
    <w:p>
      <w:pPr>
        <w:spacing w:beforeLines="0" w:afterLines="0"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（2023-2035年）</w:t>
      </w:r>
    </w:p>
    <w:p>
      <w:pPr>
        <w:pStyle w:val="160"/>
        <w:spacing w:line="600" w:lineRule="exact"/>
        <w:ind w:firstLine="880" w:firstLineChars="200"/>
        <w:jc w:val="center"/>
        <w:outlineLvl w:val="9"/>
        <w:rPr>
          <w:rFonts w:hint="eastAsia" w:ascii="方正小标宋简体" w:hAnsi="方正小标宋简体" w:eastAsia="方正小标宋简体" w:cs="方正小标宋简体"/>
          <w:b w:val="0"/>
          <w:bCs w:val="0"/>
          <w:color w:val="000000"/>
          <w:sz w:val="44"/>
          <w:szCs w:val="44"/>
          <w:lang w:eastAsia="zh-CN"/>
        </w:rPr>
      </w:pPr>
    </w:p>
    <w:p>
      <w:pPr>
        <w:pStyle w:val="160"/>
        <w:spacing w:line="600" w:lineRule="exact"/>
        <w:ind w:firstLine="640" w:firstLineChars="200"/>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为全面贯彻党的二十大精神，</w:t>
      </w:r>
      <w:r>
        <w:rPr>
          <w:rFonts w:hint="eastAsia" w:ascii="仿宋_GB2312" w:hAnsi="仿宋_GB2312" w:eastAsia="仿宋_GB2312" w:cs="仿宋_GB2312"/>
          <w:b w:val="0"/>
          <w:bCs w:val="0"/>
          <w:color w:val="000000"/>
          <w:lang w:val="en-US" w:eastAsia="zh-CN"/>
        </w:rPr>
        <w:t>以</w:t>
      </w:r>
      <w:r>
        <w:rPr>
          <w:rFonts w:hint="eastAsia" w:ascii="仿宋_GB2312" w:hAnsi="仿宋_GB2312" w:eastAsia="仿宋_GB2312" w:cs="仿宋_GB2312"/>
          <w:b w:val="0"/>
          <w:bCs w:val="0"/>
          <w:color w:val="000000"/>
        </w:rPr>
        <w:t>习近平生态文明思想</w:t>
      </w:r>
      <w:r>
        <w:rPr>
          <w:rFonts w:hint="eastAsia" w:ascii="仿宋_GB2312" w:hAnsi="仿宋_GB2312" w:eastAsia="仿宋_GB2312" w:cs="仿宋_GB2312"/>
          <w:b w:val="0"/>
          <w:bCs w:val="0"/>
          <w:color w:val="000000"/>
          <w:lang w:val="en-US" w:eastAsia="zh-CN"/>
        </w:rPr>
        <w:t>为指引</w:t>
      </w:r>
      <w:r>
        <w:rPr>
          <w:rFonts w:hint="eastAsia" w:ascii="仿宋_GB2312" w:hAnsi="仿宋_GB2312" w:eastAsia="仿宋_GB2312" w:cs="仿宋_GB2312"/>
          <w:b w:val="0"/>
          <w:bCs w:val="0"/>
          <w:color w:val="000000"/>
        </w:rPr>
        <w:t>，立足新发展阶段、贯彻新发展理念、构建新发展格局、推动高质量发展，全力以赴抢抓</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国务院关于支持贵州在新时代西部大开发上闯新路的意见</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历史机遇，坚定不移推</w:t>
      </w:r>
      <w:r>
        <w:rPr>
          <w:rFonts w:hint="eastAsia" w:ascii="仿宋_GB2312" w:hAnsi="仿宋_GB2312" w:eastAsia="仿宋_GB2312" w:cs="仿宋_GB2312"/>
          <w:b w:val="0"/>
          <w:bCs w:val="0"/>
          <w:color w:val="000000"/>
          <w:lang w:val="en-US" w:eastAsia="zh-CN"/>
        </w:rPr>
        <w:t>进</w:t>
      </w:r>
      <w:r>
        <w:rPr>
          <w:rFonts w:hint="eastAsia" w:ascii="仿宋_GB2312" w:hAnsi="仿宋_GB2312" w:eastAsia="仿宋_GB2312" w:cs="仿宋_GB2312"/>
          <w:b w:val="0"/>
          <w:bCs w:val="0"/>
          <w:color w:val="000000"/>
        </w:rPr>
        <w:t>生态文明建设，奋力在生态文明建设上出新绩</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根据《国家生态文明建设示范</w:t>
      </w:r>
      <w:r>
        <w:rPr>
          <w:rFonts w:hint="eastAsia" w:ascii="仿宋_GB2312" w:hAnsi="仿宋_GB2312" w:eastAsia="仿宋_GB2312" w:cs="仿宋_GB2312"/>
          <w:b w:val="0"/>
          <w:bCs w:val="0"/>
          <w:color w:val="000000"/>
          <w:lang w:val="en-US" w:eastAsia="zh-CN"/>
        </w:rPr>
        <w:t>区</w:t>
      </w:r>
      <w:r>
        <w:rPr>
          <w:rFonts w:hint="eastAsia" w:ascii="仿宋_GB2312" w:hAnsi="仿宋_GB2312" w:eastAsia="仿宋_GB2312" w:cs="仿宋_GB2312"/>
          <w:b w:val="0"/>
          <w:bCs w:val="0"/>
          <w:color w:val="000000"/>
        </w:rPr>
        <w:t>管理规程</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修订版</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》《国家生态文明建设示范</w:t>
      </w:r>
      <w:r>
        <w:rPr>
          <w:rFonts w:hint="eastAsia" w:ascii="仿宋_GB2312" w:hAnsi="仿宋_GB2312" w:eastAsia="仿宋_GB2312" w:cs="仿宋_GB2312"/>
          <w:b w:val="0"/>
          <w:bCs w:val="0"/>
          <w:color w:val="000000"/>
          <w:lang w:val="en-US" w:eastAsia="zh-CN"/>
        </w:rPr>
        <w:t>区</w:t>
      </w:r>
      <w:r>
        <w:rPr>
          <w:rFonts w:hint="eastAsia" w:ascii="仿宋_GB2312" w:hAnsi="仿宋_GB2312" w:eastAsia="仿宋_GB2312" w:cs="仿宋_GB2312"/>
          <w:b w:val="0"/>
          <w:bCs w:val="0"/>
          <w:color w:val="000000"/>
        </w:rPr>
        <w:t>建设指标</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修订版</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sz w:val="32"/>
          <w:szCs w:val="32"/>
          <w:lang w:val="en-US" w:eastAsia="zh-CN"/>
        </w:rPr>
        <w:t>《国家生态文明建设示范区规划编制指南（修订版）》</w:t>
      </w:r>
      <w:r>
        <w:rPr>
          <w:rFonts w:hint="eastAsia" w:ascii="仿宋_GB2312" w:hAnsi="仿宋_GB2312" w:eastAsia="仿宋_GB2312" w:cs="仿宋_GB2312"/>
          <w:b w:val="0"/>
          <w:bCs w:val="0"/>
          <w:color w:val="000000"/>
        </w:rPr>
        <w:t>等相关规定，结合我市实际，制定本规划。</w:t>
      </w:r>
    </w:p>
    <w:p>
      <w:pPr>
        <w:pStyle w:val="160"/>
        <w:spacing w:line="600" w:lineRule="exact"/>
        <w:ind w:firstLine="640" w:firstLineChars="200"/>
        <w:outlineLvl w:val="0"/>
        <w:rPr>
          <w:b w:val="0"/>
          <w:bCs w:val="0"/>
        </w:rPr>
      </w:pPr>
      <w:r>
        <w:rPr>
          <w:b w:val="0"/>
          <w:bCs w:val="0"/>
        </w:rPr>
        <w:t>一、创建基础</w:t>
      </w:r>
    </w:p>
    <w:p>
      <w:pPr>
        <w:spacing w:beforeLines="0" w:afterLines="0" w:line="600" w:lineRule="exact"/>
        <w:ind w:firstLine="640" w:firstLineChars="200"/>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（一）强化统筹战略定力，深化生态制度改革</w:t>
      </w:r>
    </w:p>
    <w:p>
      <w:pPr>
        <w:spacing w:beforeLines="0" w:afterLines="0" w:line="60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rPr>
        <w:t>贵阳是我国最早实践生态文明建设的省会城市之一，2012年成立生态文明建设委员会，印发全国首个生态文明城市规划——《贵阳建设全国生态文明示范城市规划（2012-2020年）》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shd w:val="clear" w:color="auto" w:fill="FFFFFF"/>
        </w:rPr>
        <w:t>制定矿产资源开发利用制度、</w:t>
      </w:r>
      <w:r>
        <w:rPr>
          <w:rFonts w:hint="eastAsia" w:ascii="仿宋_GB2312" w:hAnsi="仿宋_GB2312" w:eastAsia="仿宋_GB2312" w:cs="仿宋_GB2312"/>
          <w:b w:val="0"/>
          <w:bCs w:val="0"/>
          <w:sz w:val="32"/>
          <w:szCs w:val="32"/>
        </w:rPr>
        <w:t>水资源</w:t>
      </w:r>
      <w:r>
        <w:rPr>
          <w:rFonts w:hint="eastAsia" w:ascii="仿宋_GB2312" w:hAnsi="仿宋_GB2312" w:eastAsia="仿宋_GB2312" w:cs="仿宋_GB2312"/>
          <w:b w:val="0"/>
          <w:bCs w:val="0"/>
          <w:sz w:val="32"/>
          <w:szCs w:val="32"/>
          <w:shd w:val="clear" w:color="auto" w:fill="FFFFFF"/>
        </w:rPr>
        <w:t>管理</w:t>
      </w:r>
      <w:r>
        <w:rPr>
          <w:rFonts w:hint="eastAsia" w:ascii="仿宋_GB2312" w:hAnsi="仿宋_GB2312" w:eastAsia="仿宋_GB2312" w:cs="仿宋_GB2312"/>
          <w:b w:val="0"/>
          <w:bCs w:val="0"/>
          <w:sz w:val="32"/>
          <w:szCs w:val="32"/>
        </w:rPr>
        <w:t>制度</w:t>
      </w:r>
      <w:r>
        <w:rPr>
          <w:rFonts w:hint="eastAsia" w:ascii="仿宋_GB2312" w:hAnsi="仿宋_GB2312" w:eastAsia="仿宋_GB2312" w:cs="仿宋_GB2312"/>
          <w:b w:val="0"/>
          <w:bCs w:val="0"/>
          <w:sz w:val="32"/>
          <w:szCs w:val="32"/>
          <w:shd w:val="clear" w:color="auto" w:fill="FFFFFF"/>
        </w:rPr>
        <w:t>、生态环境损害赔偿制度、流域生态补偿机制和企业主体责任制度，健全绿色金融制度、生态产品价值核算制度与</w:t>
      </w:r>
      <w:r>
        <w:rPr>
          <w:rFonts w:hint="eastAsia" w:ascii="仿宋_GB2312" w:hAnsi="仿宋_GB2312" w:eastAsia="仿宋_GB2312" w:cs="仿宋_GB2312"/>
          <w:b w:val="0"/>
          <w:bCs w:val="0"/>
          <w:sz w:val="32"/>
          <w:szCs w:val="32"/>
        </w:rPr>
        <w:t>实现机制</w:t>
      </w:r>
      <w:r>
        <w:rPr>
          <w:rFonts w:hint="eastAsia" w:ascii="仿宋_GB2312" w:hAnsi="仿宋_GB2312" w:eastAsia="仿宋_GB2312" w:cs="仿宋_GB2312"/>
          <w:b w:val="0"/>
          <w:bCs w:val="0"/>
          <w:sz w:val="32"/>
          <w:szCs w:val="32"/>
          <w:shd w:val="clear" w:color="auto" w:fill="FFFFFF"/>
        </w:rPr>
        <w:t>、环评与排污许可衔接制度等重大生态制度</w:t>
      </w:r>
      <w:r>
        <w:rPr>
          <w:rFonts w:hint="eastAsia" w:ascii="仿宋_GB2312" w:hAnsi="仿宋_GB2312" w:eastAsia="仿宋_GB2312" w:cs="仿宋_GB2312"/>
          <w:b w:val="0"/>
          <w:bCs w:val="0"/>
          <w:kern w:val="0"/>
          <w:sz w:val="32"/>
          <w:szCs w:val="32"/>
        </w:rPr>
        <w:t>。全面</w:t>
      </w:r>
      <w:r>
        <w:rPr>
          <w:rFonts w:hint="eastAsia" w:ascii="仿宋_GB2312" w:hAnsi="仿宋_GB2312" w:eastAsia="仿宋_GB2312" w:cs="仿宋_GB2312"/>
          <w:b w:val="0"/>
          <w:bCs w:val="0"/>
          <w:sz w:val="32"/>
          <w:szCs w:val="32"/>
        </w:rPr>
        <w:t>落实“三线一单”生态环境分区管控，</w:t>
      </w:r>
      <w:r>
        <w:rPr>
          <w:rFonts w:hint="eastAsia" w:ascii="仿宋_GB2312" w:hAnsi="仿宋_GB2312" w:eastAsia="仿宋_GB2312" w:cs="仿宋_GB2312"/>
          <w:b w:val="0"/>
          <w:bCs w:val="0"/>
          <w:kern w:val="0"/>
          <w:sz w:val="32"/>
          <w:szCs w:val="32"/>
        </w:rPr>
        <w:t>建立生态</w:t>
      </w:r>
      <w:r>
        <w:rPr>
          <w:rFonts w:hint="eastAsia" w:ascii="仿宋_GB2312" w:hAnsi="仿宋_GB2312" w:eastAsia="仿宋_GB2312" w:cs="仿宋_GB2312"/>
          <w:b w:val="0"/>
          <w:bCs w:val="0"/>
          <w:kern w:val="0"/>
          <w:sz w:val="32"/>
          <w:szCs w:val="32"/>
          <w:lang w:val="en-US" w:eastAsia="zh-CN"/>
        </w:rPr>
        <w:t>环境</w:t>
      </w:r>
      <w:r>
        <w:rPr>
          <w:rFonts w:hint="eastAsia" w:ascii="仿宋_GB2312" w:hAnsi="仿宋_GB2312" w:eastAsia="仿宋_GB2312" w:cs="仿宋_GB2312"/>
          <w:b w:val="0"/>
          <w:bCs w:val="0"/>
          <w:kern w:val="0"/>
          <w:sz w:val="32"/>
          <w:szCs w:val="32"/>
        </w:rPr>
        <w:t>保护“司法、行政、公众”联动机制。依托大数据发展优势，</w:t>
      </w:r>
      <w:r>
        <w:rPr>
          <w:rFonts w:hint="eastAsia" w:ascii="仿宋_GB2312" w:hAnsi="仿宋_GB2312" w:eastAsia="仿宋_GB2312" w:cs="仿宋_GB2312"/>
          <w:b w:val="0"/>
          <w:bCs w:val="0"/>
          <w:sz w:val="32"/>
          <w:szCs w:val="32"/>
          <w:shd w:val="clear" w:color="auto" w:fill="FFFFFF"/>
        </w:rPr>
        <w:t>建设智慧生态环境管理平台，初步实现“生态环境一本账、环境管理一张图、污染监督一张网”。全面落实河（湖）长制、林长制，率先成立全省市级河湖保护单位——贵阳市河湖保护中心，打造全省首个林长制主题试点公园</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sz w:val="32"/>
          <w:szCs w:val="32"/>
          <w:shd w:val="clear" w:color="auto" w:fill="FFFFFF"/>
        </w:rPr>
        <w:t>长坡岭国家森林公园，率先在全省创新开展“林长制”进党校活动。</w:t>
      </w:r>
      <w:r>
        <w:rPr>
          <w:rFonts w:hint="eastAsia" w:ascii="仿宋_GB2312" w:hAnsi="仿宋_GB2312" w:eastAsia="仿宋_GB2312" w:cs="仿宋_GB2312"/>
          <w:b w:val="0"/>
          <w:bCs w:val="0"/>
          <w:kern w:val="0"/>
          <w:sz w:val="32"/>
          <w:szCs w:val="32"/>
        </w:rPr>
        <w:t>2007年，成立全国首个环保法庭——清镇市人民法院环境保护法庭，办</w:t>
      </w:r>
      <w:r>
        <w:rPr>
          <w:rFonts w:hint="eastAsia" w:ascii="仿宋_GB2312" w:hAnsi="仿宋_GB2312" w:eastAsia="仿宋_GB2312" w:cs="仿宋_GB2312"/>
          <w:b w:val="0"/>
          <w:bCs w:val="0"/>
          <w:sz w:val="32"/>
          <w:szCs w:val="32"/>
          <w:shd w:val="clear" w:color="auto" w:fill="FFFFFF"/>
        </w:rPr>
        <w:t>理全国首例生态环境损害赔偿案件，实施生态司法修复并挂牌落成全国首个生态检察修复示范基地，开展环境行政公益诉讼并发布全国首份生态环境保护检察工作白皮书，</w:t>
      </w:r>
      <w:r>
        <w:rPr>
          <w:rFonts w:hint="eastAsia" w:ascii="仿宋_GB2312" w:hAnsi="仿宋_GB2312" w:eastAsia="仿宋_GB2312" w:cs="仿宋_GB2312"/>
          <w:b w:val="0"/>
          <w:bCs w:val="0"/>
          <w:kern w:val="0"/>
          <w:sz w:val="32"/>
          <w:szCs w:val="32"/>
        </w:rPr>
        <w:t>落成“两庭三局”司法体系。先后获</w:t>
      </w:r>
      <w:r>
        <w:rPr>
          <w:rFonts w:hint="eastAsia" w:ascii="仿宋_GB2312" w:hAnsi="仿宋_GB2312" w:eastAsia="仿宋_GB2312" w:cs="仿宋_GB2312"/>
          <w:b w:val="0"/>
          <w:bCs w:val="0"/>
          <w:kern w:val="0"/>
          <w:sz w:val="32"/>
          <w:szCs w:val="32"/>
          <w:lang w:val="en-US" w:eastAsia="zh-CN"/>
        </w:rPr>
        <w:t>批建设</w:t>
      </w:r>
      <w:r>
        <w:rPr>
          <w:rFonts w:hint="eastAsia" w:ascii="仿宋_GB2312" w:hAnsi="仿宋_GB2312" w:eastAsia="仿宋_GB2312" w:cs="仿宋_GB2312"/>
          <w:b w:val="0"/>
          <w:bCs w:val="0"/>
          <w:kern w:val="0"/>
          <w:sz w:val="32"/>
          <w:szCs w:val="32"/>
        </w:rPr>
        <w:t>全国生态文明建设试点城市、全国低碳试点城市、“科创中国”试点城市，荣获国家森林城市</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国家卫生城市、全国文明城市、中国避暑之都、中国最佳表现城市等荣誉称号。</w:t>
      </w:r>
    </w:p>
    <w:p>
      <w:pPr>
        <w:pStyle w:val="158"/>
        <w:spacing w:line="600" w:lineRule="exact"/>
        <w:ind w:firstLine="640" w:firstLineChars="200"/>
        <w:outlineLvl w:val="1"/>
        <w:rPr>
          <w:rFonts w:hint="eastAsia" w:ascii="楷体_GB2312" w:hAnsi="楷体_GB2312" w:eastAsia="楷体_GB2312" w:cs="楷体_GB2312"/>
          <w:b w:val="0"/>
          <w:bCs w:val="0"/>
          <w:sz w:val="32"/>
          <w:szCs w:val="32"/>
        </w:rPr>
      </w:pPr>
      <w:bookmarkStart w:id="1" w:name="_Toc136717505"/>
      <w:r>
        <w:rPr>
          <w:rFonts w:hint="eastAsia" w:ascii="楷体_GB2312" w:hAnsi="楷体_GB2312" w:eastAsia="楷体_GB2312" w:cs="楷体_GB2312"/>
          <w:b w:val="0"/>
          <w:bCs w:val="0"/>
          <w:sz w:val="32"/>
          <w:szCs w:val="32"/>
        </w:rPr>
        <w:t>（二）筑牢优良生态本底，污染防治成效显著</w:t>
      </w:r>
      <w:bookmarkEnd w:id="1"/>
    </w:p>
    <w:p>
      <w:pPr>
        <w:pStyle w:val="45"/>
        <w:spacing w:beforeLines="0" w:after="0" w:afterLines="0" w:line="600" w:lineRule="exact"/>
        <w:ind w:left="0" w:leftChars="0" w:firstLine="640"/>
        <w:rPr>
          <w:rFonts w:hint="eastAsia" w:ascii="仿宋_GB2312" w:hAnsi="仿宋_GB2312" w:eastAsia="仿宋_GB2312" w:cs="仿宋_GB2312"/>
          <w:b w:val="0"/>
          <w:bCs w:val="0"/>
          <w:szCs w:val="32"/>
        </w:rPr>
      </w:pPr>
      <w:r>
        <w:rPr>
          <w:rFonts w:ascii="仿宋_GB2312" w:hAnsi="仿宋_GB2312" w:eastAsia="仿宋_GB2312" w:cs="仿宋_GB2312"/>
          <w:b w:val="0"/>
          <w:bCs w:val="0"/>
          <w:szCs w:val="32"/>
        </w:rPr>
        <w:t>深入</w:t>
      </w:r>
      <w:r>
        <w:rPr>
          <w:rFonts w:hint="eastAsia" w:ascii="仿宋_GB2312" w:hAnsi="仿宋_GB2312" w:eastAsia="仿宋_GB2312" w:cs="仿宋_GB2312"/>
          <w:b w:val="0"/>
          <w:bCs w:val="0"/>
          <w:szCs w:val="32"/>
        </w:rPr>
        <w:t>打好蓝天、碧水、净土污染防治攻坚战，实行挂牌督战、挂图作战、挂账销号“三挂”打法，持续改善生态环境质量，人民群众生态环境获得感、幸福感、安全感显著增强，厚植全面建成小康社会的绿色底色和质量成色。</w:t>
      </w:r>
      <w:r>
        <w:rPr>
          <w:rFonts w:hint="eastAsia" w:ascii="仿宋_GB2312" w:hAnsi="仿宋_GB2312" w:eastAsia="仿宋_GB2312" w:cs="仿宋_GB2312"/>
          <w:b/>
          <w:bCs/>
          <w:szCs w:val="32"/>
        </w:rPr>
        <w:t>空气质量优中更优。</w:t>
      </w:r>
      <w:r>
        <w:rPr>
          <w:rFonts w:hint="eastAsia" w:ascii="仿宋_GB2312" w:hAnsi="仿宋_GB2312" w:eastAsia="仿宋_GB2312" w:cs="仿宋_GB2312"/>
          <w:b w:val="0"/>
          <w:bCs w:val="0"/>
          <w:szCs w:val="32"/>
        </w:rPr>
        <w:t>全方位实施大气污染精细化管控，率先在</w:t>
      </w:r>
      <w:r>
        <w:rPr>
          <w:rFonts w:ascii="仿宋_GB2312" w:hAnsi="仿宋_GB2312" w:eastAsia="仿宋_GB2312" w:cs="仿宋_GB2312"/>
          <w:b w:val="0"/>
          <w:bCs w:val="0"/>
          <w:szCs w:val="32"/>
        </w:rPr>
        <w:t>全省</w:t>
      </w:r>
      <w:r>
        <w:rPr>
          <w:rFonts w:hint="eastAsia" w:ascii="仿宋_GB2312" w:hAnsi="仿宋_GB2312" w:eastAsia="仿宋_GB2312" w:cs="仿宋_GB2312"/>
          <w:b w:val="0"/>
          <w:bCs w:val="0"/>
          <w:szCs w:val="32"/>
        </w:rPr>
        <w:t>建设180个乡（镇、街道）级空气微型监测站，</w:t>
      </w:r>
      <w:r>
        <w:rPr>
          <w:rFonts w:ascii="仿宋_GB2312" w:hAnsi="仿宋_GB2312" w:eastAsia="仿宋_GB2312" w:cs="仿宋_GB2312"/>
          <w:b w:val="0"/>
          <w:bCs w:val="0"/>
          <w:szCs w:val="32"/>
        </w:rPr>
        <w:t>建成</w:t>
      </w:r>
      <w:r>
        <w:rPr>
          <w:rFonts w:hint="eastAsia" w:ascii="仿宋_GB2312" w:hAnsi="仿宋_GB2312" w:eastAsia="仿宋_GB2312" w:cs="仿宋_GB2312"/>
          <w:b w:val="0"/>
          <w:bCs w:val="0"/>
          <w:szCs w:val="32"/>
        </w:rPr>
        <w:t>颗粒物典型源谱库，是</w:t>
      </w:r>
      <w:r>
        <w:rPr>
          <w:rFonts w:ascii="仿宋_GB2312" w:hAnsi="仿宋_GB2312" w:eastAsia="仿宋_GB2312" w:cs="仿宋_GB2312"/>
          <w:b w:val="0"/>
          <w:bCs w:val="0"/>
          <w:szCs w:val="32"/>
        </w:rPr>
        <w:t>全</w:t>
      </w:r>
      <w:r>
        <w:rPr>
          <w:rFonts w:hint="eastAsia" w:ascii="仿宋_GB2312" w:hAnsi="仿宋_GB2312" w:eastAsia="仿宋_GB2312" w:cs="仿宋_GB2312"/>
          <w:b w:val="0"/>
          <w:bCs w:val="0"/>
          <w:szCs w:val="32"/>
        </w:rPr>
        <w:t>省首个成立预测预报中心并独立开展空气质量预测预报的市州。</w:t>
      </w:r>
      <w:r>
        <w:rPr>
          <w:rFonts w:ascii="仿宋_GB2312" w:hAnsi="仿宋_GB2312" w:eastAsia="仿宋_GB2312" w:cs="仿宋_GB2312"/>
          <w:b w:val="0"/>
          <w:bCs w:val="0"/>
          <w:szCs w:val="32"/>
        </w:rPr>
        <w:t>实施</w:t>
      </w:r>
      <w:r>
        <w:rPr>
          <w:rFonts w:hint="eastAsia" w:ascii="仿宋_GB2312" w:hAnsi="仿宋_GB2312" w:eastAsia="仿宋_GB2312" w:cs="仿宋_GB2312"/>
          <w:b w:val="0"/>
          <w:bCs w:val="0"/>
          <w:szCs w:val="32"/>
        </w:rPr>
        <w:t>黑烟车</w:t>
      </w:r>
      <w:r>
        <w:rPr>
          <w:rFonts w:ascii="仿宋_GB2312" w:hAnsi="仿宋_GB2312" w:eastAsia="仿宋_GB2312" w:cs="仿宋_GB2312"/>
          <w:b w:val="0"/>
          <w:bCs w:val="0"/>
          <w:szCs w:val="32"/>
        </w:rPr>
        <w:t>遥感</w:t>
      </w:r>
      <w:r>
        <w:rPr>
          <w:rFonts w:hint="eastAsia" w:ascii="仿宋_GB2312" w:hAnsi="仿宋_GB2312" w:eastAsia="仿宋_GB2312" w:cs="仿宋_GB2312"/>
          <w:b w:val="0"/>
          <w:bCs w:val="0"/>
          <w:szCs w:val="32"/>
        </w:rPr>
        <w:t>在线监控，大力推进黄标车、老旧车辆淘汰和油品升级，多</w:t>
      </w:r>
      <w:r>
        <w:rPr>
          <w:rFonts w:hint="eastAsia" w:ascii="仿宋_GB2312" w:hAnsi="仿宋_GB2312" w:cs="仿宋_GB2312"/>
          <w:b w:val="0"/>
          <w:bCs w:val="0"/>
          <w:szCs w:val="32"/>
          <w:lang w:val="en-US" w:eastAsia="zh-CN"/>
        </w:rPr>
        <w:t>举</w:t>
      </w:r>
      <w:r>
        <w:rPr>
          <w:rFonts w:hint="eastAsia" w:ascii="仿宋_GB2312" w:hAnsi="仿宋_GB2312" w:eastAsia="仿宋_GB2312" w:cs="仿宋_GB2312"/>
          <w:b w:val="0"/>
          <w:bCs w:val="0"/>
          <w:szCs w:val="32"/>
        </w:rPr>
        <w:t>措整治城市扬尘。建</w:t>
      </w:r>
      <w:r>
        <w:rPr>
          <w:rFonts w:ascii="仿宋_GB2312" w:hAnsi="仿宋_GB2312" w:eastAsia="仿宋_GB2312" w:cs="仿宋_GB2312"/>
          <w:b w:val="0"/>
          <w:bCs w:val="0"/>
          <w:szCs w:val="32"/>
        </w:rPr>
        <w:t>成</w:t>
      </w:r>
      <w:r>
        <w:rPr>
          <w:rFonts w:hint="eastAsia" w:ascii="仿宋_GB2312" w:hAnsi="仿宋_GB2312" w:eastAsia="仿宋_GB2312" w:cs="仿宋_GB2312"/>
          <w:b w:val="0"/>
          <w:bCs w:val="0"/>
          <w:szCs w:val="32"/>
        </w:rPr>
        <w:t>一批低碳社区示范点。2022年，空气质量优良率历史性达到100%，在</w:t>
      </w:r>
      <w:r>
        <w:rPr>
          <w:rFonts w:ascii="仿宋_GB2312" w:hAnsi="仿宋_GB2312" w:eastAsia="仿宋_GB2312" w:cs="仿宋_GB2312"/>
          <w:b w:val="0"/>
          <w:bCs w:val="0"/>
          <w:szCs w:val="32"/>
        </w:rPr>
        <w:t>全</w:t>
      </w:r>
      <w:r>
        <w:rPr>
          <w:rFonts w:hint="eastAsia" w:ascii="仿宋_GB2312" w:hAnsi="仿宋_GB2312" w:eastAsia="仿宋_GB2312" w:cs="仿宋_GB2312"/>
          <w:b w:val="0"/>
          <w:bCs w:val="0"/>
          <w:szCs w:val="32"/>
        </w:rPr>
        <w:t>省9个市州中排名第一</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lang w:val="en-US" w:eastAsia="zh-CN"/>
        </w:rPr>
        <w:t>空气质量在</w:t>
      </w:r>
      <w:r>
        <w:rPr>
          <w:rFonts w:hint="eastAsia" w:ascii="仿宋_GB2312" w:hAnsi="仿宋_GB2312" w:eastAsia="仿宋_GB2312" w:cs="仿宋_GB2312"/>
          <w:b w:val="0"/>
          <w:bCs w:val="0"/>
          <w:szCs w:val="32"/>
        </w:rPr>
        <w:t>全国168个重点城市</w:t>
      </w:r>
      <w:r>
        <w:rPr>
          <w:rFonts w:hint="eastAsia" w:ascii="仿宋_GB2312" w:hAnsi="仿宋_GB2312" w:cs="仿宋_GB2312"/>
          <w:b w:val="0"/>
          <w:bCs w:val="0"/>
          <w:szCs w:val="32"/>
          <w:lang w:val="en-US" w:eastAsia="zh-CN"/>
        </w:rPr>
        <w:t>中</w:t>
      </w:r>
      <w:r>
        <w:rPr>
          <w:rFonts w:hint="eastAsia" w:ascii="仿宋_GB2312" w:hAnsi="仿宋_GB2312" w:eastAsia="仿宋_GB2312" w:cs="仿宋_GB2312"/>
          <w:b w:val="0"/>
          <w:bCs w:val="0"/>
          <w:szCs w:val="32"/>
        </w:rPr>
        <w:t>排名第</w:t>
      </w:r>
      <w:r>
        <w:rPr>
          <w:rFonts w:hint="eastAsia" w:ascii="仿宋_GB2312" w:hAnsi="仿宋_GB2312" w:cs="仿宋_GB2312"/>
          <w:b w:val="0"/>
          <w:bCs w:val="0"/>
          <w:szCs w:val="32"/>
          <w:lang w:val="en-US" w:eastAsia="zh-CN"/>
        </w:rPr>
        <w:t>6</w:t>
      </w:r>
      <w:r>
        <w:rPr>
          <w:rFonts w:hint="eastAsia" w:ascii="仿宋_GB2312" w:hAnsi="仿宋_GB2312" w:eastAsia="仿宋_GB2312" w:cs="仿宋_GB2312"/>
          <w:b w:val="0"/>
          <w:bCs w:val="0"/>
          <w:szCs w:val="32"/>
        </w:rPr>
        <w:t>、省会城市排</w:t>
      </w:r>
      <w:r>
        <w:rPr>
          <w:rFonts w:hint="eastAsia" w:ascii="仿宋_GB2312" w:hAnsi="仿宋_GB2312" w:cs="仿宋_GB2312"/>
          <w:b w:val="0"/>
          <w:bCs w:val="0"/>
          <w:szCs w:val="32"/>
          <w:lang w:val="en-US" w:eastAsia="zh-CN"/>
        </w:rPr>
        <w:t>名</w:t>
      </w:r>
      <w:r>
        <w:rPr>
          <w:rFonts w:hint="eastAsia" w:ascii="仿宋_GB2312" w:hAnsi="仿宋_GB2312" w:eastAsia="仿宋_GB2312" w:cs="仿宋_GB2312"/>
          <w:b w:val="0"/>
          <w:bCs w:val="0"/>
          <w:szCs w:val="32"/>
        </w:rPr>
        <w:t>第</w:t>
      </w:r>
      <w:r>
        <w:rPr>
          <w:rFonts w:hint="eastAsia" w:ascii="仿宋_GB2312" w:hAnsi="仿宋_GB2312" w:cs="仿宋_GB2312"/>
          <w:b w:val="0"/>
          <w:bCs w:val="0"/>
          <w:szCs w:val="32"/>
          <w:lang w:val="en-US" w:eastAsia="zh-CN"/>
        </w:rPr>
        <w:t>4</w:t>
      </w:r>
      <w:r>
        <w:rPr>
          <w:rFonts w:hint="eastAsia" w:ascii="仿宋_GB2312" w:hAnsi="仿宋_GB2312" w:eastAsia="仿宋_GB2312" w:cs="仿宋_GB2312"/>
          <w:b w:val="0"/>
          <w:bCs w:val="0"/>
          <w:szCs w:val="32"/>
        </w:rPr>
        <w:t>。</w:t>
      </w:r>
      <w:r>
        <w:rPr>
          <w:rFonts w:hint="eastAsia" w:ascii="仿宋_GB2312" w:hAnsi="仿宋_GB2312" w:eastAsia="仿宋_GB2312" w:cs="仿宋_GB2312"/>
          <w:b/>
          <w:bCs/>
          <w:szCs w:val="32"/>
        </w:rPr>
        <w:t>水环境质量大幅改善。</w:t>
      </w:r>
      <w:r>
        <w:rPr>
          <w:rFonts w:hint="eastAsia" w:ascii="仿宋_GB2312" w:hAnsi="仿宋_GB2312" w:eastAsia="仿宋_GB2312" w:cs="仿宋_GB2312"/>
          <w:b w:val="0"/>
          <w:bCs w:val="0"/>
          <w:szCs w:val="32"/>
        </w:rPr>
        <w:t>大力实施工业污染治理、黑臭水体</w:t>
      </w:r>
      <w:r>
        <w:rPr>
          <w:rFonts w:ascii="仿宋_GB2312" w:hAnsi="仿宋_GB2312" w:eastAsia="仿宋_GB2312" w:cs="仿宋_GB2312"/>
          <w:b w:val="0"/>
          <w:bCs w:val="0"/>
          <w:szCs w:val="32"/>
        </w:rPr>
        <w:t>治理</w:t>
      </w:r>
      <w:r>
        <w:rPr>
          <w:rFonts w:hint="eastAsia" w:ascii="仿宋_GB2312" w:hAnsi="仿宋_GB2312" w:eastAsia="仿宋_GB2312" w:cs="仿宋_GB2312"/>
          <w:b w:val="0"/>
          <w:bCs w:val="0"/>
          <w:szCs w:val="32"/>
        </w:rPr>
        <w:t>、入河排污口整治</w:t>
      </w:r>
      <w:r>
        <w:rPr>
          <w:rFonts w:hint="eastAsia" w:ascii="仿宋_GB2312" w:hAnsi="仿宋_GB2312" w:cs="仿宋_GB2312"/>
          <w:b w:val="0"/>
          <w:bCs w:val="0"/>
          <w:szCs w:val="32"/>
          <w:lang w:eastAsia="zh-CN"/>
        </w:rPr>
        <w:t>。</w:t>
      </w:r>
      <w:r>
        <w:rPr>
          <w:rFonts w:hint="eastAsia" w:ascii="仿宋_GB2312" w:hAnsi="仿宋_GB2312" w:eastAsia="仿宋_GB2312" w:cs="仿宋_GB2312"/>
          <w:b w:val="0"/>
          <w:bCs w:val="0"/>
          <w:szCs w:val="32"/>
        </w:rPr>
        <w:t>南明河</w:t>
      </w:r>
      <w:r>
        <w:rPr>
          <w:rFonts w:ascii="仿宋_GB2312" w:hAnsi="仿宋_GB2312" w:eastAsia="仿宋_GB2312" w:cs="仿宋_GB2312"/>
          <w:b w:val="0"/>
          <w:bCs w:val="0"/>
          <w:szCs w:val="32"/>
        </w:rPr>
        <w:t>系统整治</w:t>
      </w:r>
      <w:r>
        <w:rPr>
          <w:rFonts w:hint="eastAsia" w:ascii="仿宋_GB2312" w:hAnsi="仿宋_GB2312" w:eastAsia="仿宋_GB2312" w:cs="仿宋_GB2312"/>
          <w:b w:val="0"/>
          <w:bCs w:val="0"/>
          <w:szCs w:val="32"/>
        </w:rPr>
        <w:t>为喀斯特地区流域</w:t>
      </w:r>
      <w:r>
        <w:rPr>
          <w:rFonts w:ascii="仿宋_GB2312" w:hAnsi="仿宋_GB2312" w:eastAsia="仿宋_GB2312" w:cs="仿宋_GB2312"/>
          <w:b w:val="0"/>
          <w:bCs w:val="0"/>
          <w:szCs w:val="32"/>
        </w:rPr>
        <w:t>综合</w:t>
      </w:r>
      <w:r>
        <w:rPr>
          <w:rFonts w:hint="eastAsia" w:ascii="仿宋_GB2312" w:hAnsi="仿宋_GB2312" w:eastAsia="仿宋_GB2312" w:cs="仿宋_GB2312"/>
          <w:b w:val="0"/>
          <w:bCs w:val="0"/>
          <w:szCs w:val="32"/>
        </w:rPr>
        <w:t>治理提供宝贵经验。完全消除30处城市黑臭水体，打造了七彩湖、小湾河湿地公园等一批治理典范。2020-2022年，贵阳市地表水国控断面水体达标率均达到100%，优良率分别达到83.33%、100%、100%。</w:t>
      </w:r>
      <w:r>
        <w:rPr>
          <w:rFonts w:hint="eastAsia" w:ascii="仿宋_GB2312" w:hAnsi="仿宋_GB2312" w:eastAsia="仿宋_GB2312" w:cs="仿宋_GB2312"/>
          <w:b/>
          <w:bCs/>
          <w:szCs w:val="32"/>
        </w:rPr>
        <w:t>土壤和地下水环境质量稳中向好。</w:t>
      </w:r>
      <w:r>
        <w:rPr>
          <w:rFonts w:hint="eastAsia" w:ascii="仿宋_GB2312" w:hAnsi="仿宋_GB2312" w:eastAsia="仿宋_GB2312" w:cs="仿宋_GB2312"/>
          <w:b w:val="0"/>
          <w:bCs w:val="0"/>
          <w:szCs w:val="32"/>
        </w:rPr>
        <w:t>以土壤详查为基础，以污染地块管理为突破，</w:t>
      </w:r>
      <w:r>
        <w:rPr>
          <w:rFonts w:ascii="仿宋_GB2312" w:hAnsi="仿宋_GB2312" w:eastAsia="仿宋_GB2312" w:cs="仿宋_GB2312"/>
          <w:b w:val="0"/>
          <w:bCs w:val="0"/>
          <w:szCs w:val="32"/>
        </w:rPr>
        <w:t>全面</w:t>
      </w:r>
      <w:r>
        <w:rPr>
          <w:rFonts w:hint="eastAsia" w:ascii="仿宋_GB2312" w:hAnsi="仿宋_GB2312" w:eastAsia="仿宋_GB2312" w:cs="仿宋_GB2312"/>
          <w:b w:val="0"/>
          <w:bCs w:val="0"/>
          <w:szCs w:val="32"/>
        </w:rPr>
        <w:t>保障农产品质量和人居环境安全，强化土壤环境风险管控，加强地下水环境监管基础能力建设，</w:t>
      </w:r>
      <w:r>
        <w:rPr>
          <w:rFonts w:hint="eastAsia" w:ascii="仿宋_GB2312" w:hAnsi="仿宋_GB2312" w:cs="仿宋_GB2312"/>
          <w:b w:val="0"/>
          <w:bCs w:val="0"/>
          <w:szCs w:val="32"/>
          <w:lang w:val="en-US" w:eastAsia="zh-CN"/>
        </w:rPr>
        <w:t>推进</w:t>
      </w:r>
      <w:r>
        <w:rPr>
          <w:rFonts w:hint="eastAsia" w:ascii="仿宋_GB2312" w:hAnsi="仿宋_GB2312" w:eastAsia="仿宋_GB2312" w:cs="仿宋_GB2312"/>
          <w:b w:val="0"/>
          <w:bCs w:val="0"/>
          <w:szCs w:val="32"/>
        </w:rPr>
        <w:t>土壤和地下水协同治理。在全省率先完成199</w:t>
      </w:r>
      <w:r>
        <w:rPr>
          <w:rFonts w:hint="eastAsia" w:ascii="仿宋_GB2312" w:hAnsi="仿宋_GB2312" w:cs="仿宋_GB2312"/>
          <w:b w:val="0"/>
          <w:bCs w:val="0"/>
          <w:szCs w:val="32"/>
          <w:lang w:val="en-US" w:eastAsia="zh-CN"/>
        </w:rPr>
        <w:t>家</w:t>
      </w:r>
      <w:r>
        <w:rPr>
          <w:rFonts w:hint="eastAsia" w:ascii="仿宋_GB2312" w:hAnsi="仿宋_GB2312" w:eastAsia="仿宋_GB2312" w:cs="仿宋_GB2312"/>
          <w:b w:val="0"/>
          <w:bCs w:val="0"/>
          <w:szCs w:val="32"/>
        </w:rPr>
        <w:t>重点行业企业</w:t>
      </w:r>
      <w:r>
        <w:rPr>
          <w:rFonts w:ascii="仿宋_GB2312" w:hAnsi="仿宋_GB2312" w:eastAsia="仿宋_GB2312" w:cs="仿宋_GB2312"/>
          <w:b w:val="0"/>
          <w:bCs w:val="0"/>
          <w:szCs w:val="32"/>
        </w:rPr>
        <w:t>和</w:t>
      </w:r>
      <w:r>
        <w:rPr>
          <w:rFonts w:hint="eastAsia" w:ascii="仿宋_GB2312" w:hAnsi="仿宋_GB2312" w:eastAsia="仿宋_GB2312" w:cs="仿宋_GB2312"/>
          <w:b w:val="0"/>
          <w:bCs w:val="0"/>
          <w:szCs w:val="32"/>
        </w:rPr>
        <w:t>24个典型地块</w:t>
      </w:r>
      <w:r>
        <w:rPr>
          <w:rFonts w:ascii="仿宋_GB2312" w:hAnsi="仿宋_GB2312" w:eastAsia="仿宋_GB2312" w:cs="仿宋_GB2312"/>
          <w:b w:val="0"/>
          <w:bCs w:val="0"/>
          <w:szCs w:val="32"/>
        </w:rPr>
        <w:t>的</w:t>
      </w:r>
      <w:r>
        <w:rPr>
          <w:rFonts w:hint="eastAsia" w:ascii="仿宋_GB2312" w:hAnsi="仿宋_GB2312" w:eastAsia="仿宋_GB2312" w:cs="仿宋_GB2312"/>
          <w:b w:val="0"/>
          <w:bCs w:val="0"/>
          <w:szCs w:val="32"/>
        </w:rPr>
        <w:t>监测评估工作。依托清镇市汞污染历史遗留综合治理示范项目，建</w:t>
      </w:r>
      <w:r>
        <w:rPr>
          <w:rFonts w:hint="eastAsia" w:ascii="仿宋_GB2312" w:hAnsi="仿宋_GB2312" w:cs="仿宋_GB2312"/>
          <w:b w:val="0"/>
          <w:bCs w:val="0"/>
          <w:szCs w:val="32"/>
          <w:lang w:val="en-US" w:eastAsia="zh-CN"/>
        </w:rPr>
        <w:t>设</w:t>
      </w:r>
      <w:r>
        <w:rPr>
          <w:rFonts w:hint="eastAsia" w:ascii="仿宋_GB2312" w:hAnsi="仿宋_GB2312" w:eastAsia="仿宋_GB2312" w:cs="仿宋_GB2312"/>
          <w:b w:val="0"/>
          <w:bCs w:val="0"/>
          <w:szCs w:val="32"/>
        </w:rPr>
        <w:t>清镇市青龙生态环保公园</w:t>
      </w:r>
      <w:r>
        <w:rPr>
          <w:rFonts w:ascii="仿宋_GB2312" w:hAnsi="仿宋_GB2312" w:eastAsia="仿宋_GB2312" w:cs="仿宋_GB2312"/>
          <w:b w:val="0"/>
          <w:bCs w:val="0"/>
          <w:szCs w:val="32"/>
        </w:rPr>
        <w:t>，</w:t>
      </w:r>
      <w:r>
        <w:rPr>
          <w:rFonts w:hint="eastAsia" w:ascii="仿宋_GB2312" w:hAnsi="仿宋_GB2312" w:cs="仿宋_GB2312"/>
          <w:b w:val="0"/>
          <w:bCs w:val="0"/>
          <w:szCs w:val="32"/>
          <w:lang w:val="en-US" w:eastAsia="zh-CN"/>
        </w:rPr>
        <w:t>打造</w:t>
      </w:r>
      <w:r>
        <w:rPr>
          <w:rFonts w:hint="eastAsia" w:ascii="仿宋_GB2312" w:hAnsi="仿宋_GB2312" w:eastAsia="仿宋_GB2312" w:cs="仿宋_GB2312"/>
          <w:b w:val="0"/>
          <w:bCs w:val="0"/>
          <w:szCs w:val="32"/>
        </w:rPr>
        <w:t>全国首个土壤污染防治科普宣教基地。2020-2022年，6个地下水国控考核点位水质均达Ⅳ类及以上，受污染耕地安全利用率90%以上，污染地块安全利用率达100%，超额完成国家下达</w:t>
      </w:r>
      <w:r>
        <w:rPr>
          <w:rFonts w:hint="eastAsia" w:ascii="仿宋_GB2312" w:hAnsi="仿宋_GB2312" w:cs="仿宋_GB2312"/>
          <w:b w:val="0"/>
          <w:bCs w:val="0"/>
          <w:szCs w:val="32"/>
          <w:lang w:val="en-US" w:eastAsia="zh-CN"/>
        </w:rPr>
        <w:t>的</w:t>
      </w:r>
      <w:r>
        <w:rPr>
          <w:rFonts w:hint="eastAsia" w:ascii="仿宋_GB2312" w:hAnsi="仿宋_GB2312" w:eastAsia="仿宋_GB2312" w:cs="仿宋_GB2312"/>
          <w:b w:val="0"/>
          <w:bCs w:val="0"/>
          <w:szCs w:val="32"/>
        </w:rPr>
        <w:t>目标任务。</w:t>
      </w:r>
      <w:r>
        <w:rPr>
          <w:rFonts w:hint="eastAsia" w:ascii="仿宋_GB2312" w:hAnsi="仿宋_GB2312" w:eastAsia="仿宋_GB2312" w:cs="仿宋_GB2312"/>
          <w:b/>
          <w:bCs/>
          <w:szCs w:val="32"/>
        </w:rPr>
        <w:t>固废监管和资源化持续发力。</w:t>
      </w:r>
      <w:r>
        <w:rPr>
          <w:rFonts w:hint="eastAsia" w:ascii="仿宋_GB2312" w:hAnsi="仿宋_GB2312" w:eastAsia="仿宋_GB2312" w:cs="仿宋_GB2312"/>
          <w:b w:val="0"/>
          <w:bCs w:val="0"/>
          <w:szCs w:val="32"/>
        </w:rPr>
        <w:t>全面启动“无废城市”建设，创新危险废物收运处置“互联网+回收”新模式，</w:t>
      </w:r>
      <w:r>
        <w:rPr>
          <w:rFonts w:ascii="仿宋_GB2312" w:hAnsi="仿宋_GB2312" w:eastAsia="仿宋_GB2312" w:cs="仿宋_GB2312"/>
          <w:b w:val="0"/>
          <w:bCs w:val="0"/>
          <w:szCs w:val="32"/>
        </w:rPr>
        <w:t>建成</w:t>
      </w:r>
      <w:r>
        <w:rPr>
          <w:rFonts w:hint="eastAsia" w:ascii="仿宋_GB2312" w:hAnsi="仿宋_GB2312" w:eastAsia="仿宋_GB2312" w:cs="仿宋_GB2312"/>
          <w:b w:val="0"/>
          <w:bCs w:val="0"/>
          <w:szCs w:val="32"/>
        </w:rPr>
        <w:t>产生、利用及处置全过程工业固体废物规范化管理体系。创新性实施医疗废物条码溯</w:t>
      </w:r>
      <w:r>
        <w:rPr>
          <w:rFonts w:ascii="仿宋_GB2312" w:hAnsi="仿宋_GB2312" w:eastAsia="仿宋_GB2312" w:cs="仿宋_GB2312"/>
          <w:b w:val="0"/>
          <w:bCs w:val="0"/>
          <w:szCs w:val="32"/>
        </w:rPr>
        <w:t>源</w:t>
      </w:r>
      <w:r>
        <w:rPr>
          <w:rFonts w:hint="eastAsia" w:ascii="仿宋_GB2312" w:hAnsi="仿宋_GB2312" w:eastAsia="仿宋_GB2312" w:cs="仿宋_GB2312"/>
          <w:b w:val="0"/>
          <w:bCs w:val="0"/>
          <w:szCs w:val="32"/>
        </w:rPr>
        <w:t>管理，组建“贵阳市危险废物管理协会”。</w:t>
      </w:r>
      <w:r>
        <w:rPr>
          <w:rFonts w:ascii="仿宋_GB2312" w:hAnsi="仿宋_GB2312" w:eastAsia="仿宋_GB2312" w:cs="仿宋_GB2312"/>
          <w:b w:val="0"/>
          <w:bCs w:val="0"/>
          <w:szCs w:val="32"/>
        </w:rPr>
        <w:t>2</w:t>
      </w:r>
      <w:r>
        <w:rPr>
          <w:rFonts w:hint="eastAsia" w:ascii="仿宋_GB2312" w:hAnsi="仿宋_GB2312" w:eastAsia="仿宋_GB2312" w:cs="仿宋_GB2312"/>
          <w:b w:val="0"/>
          <w:bCs w:val="0"/>
          <w:szCs w:val="32"/>
        </w:rPr>
        <w:t>022</w:t>
      </w:r>
      <w:r>
        <w:rPr>
          <w:rFonts w:ascii="仿宋_GB2312" w:hAnsi="仿宋_GB2312" w:eastAsia="仿宋_GB2312" w:cs="仿宋_GB2312"/>
          <w:b w:val="0"/>
          <w:bCs w:val="0"/>
          <w:szCs w:val="32"/>
        </w:rPr>
        <w:t>年，</w:t>
      </w:r>
      <w:r>
        <w:rPr>
          <w:rFonts w:hint="eastAsia" w:ascii="仿宋_GB2312" w:hAnsi="仿宋_GB2312" w:eastAsia="仿宋_GB2312" w:cs="仿宋_GB2312"/>
          <w:b w:val="0"/>
          <w:bCs w:val="0"/>
          <w:szCs w:val="32"/>
        </w:rPr>
        <w:t>一般工业固废综合利用率达到69.2%，危险废物利用处置率达100%，医疗废物集中处置率达100%。</w:t>
      </w:r>
      <w:r>
        <w:rPr>
          <w:rFonts w:hint="eastAsia" w:ascii="仿宋_GB2312" w:hAnsi="仿宋_GB2312" w:eastAsia="仿宋_GB2312" w:cs="仿宋_GB2312"/>
          <w:b/>
          <w:bCs/>
          <w:szCs w:val="32"/>
        </w:rPr>
        <w:t>积极推动生物多样性保护。</w:t>
      </w:r>
      <w:r>
        <w:rPr>
          <w:rFonts w:hint="eastAsia" w:ascii="仿宋_GB2312" w:hAnsi="仿宋_GB2312" w:cs="仿宋_GB2312"/>
          <w:b w:val="0"/>
          <w:bCs w:val="0"/>
          <w:kern w:val="2"/>
          <w:sz w:val="32"/>
          <w:szCs w:val="32"/>
          <w:lang w:val="en-US" w:eastAsia="zh-CN"/>
        </w:rPr>
        <w:t>开展</w:t>
      </w:r>
      <w:r>
        <w:rPr>
          <w:rFonts w:ascii="仿宋_GB2312" w:hAnsi="仿宋_GB2312" w:eastAsia="仿宋_GB2312" w:cs="仿宋_GB2312"/>
          <w:b w:val="0"/>
          <w:bCs w:val="0"/>
          <w:kern w:val="2"/>
          <w:sz w:val="32"/>
          <w:szCs w:val="32"/>
        </w:rPr>
        <w:t>生物多样性调查与评价工作，发现各类物种2895种</w:t>
      </w:r>
      <w:r>
        <w:rPr>
          <w:rFonts w:hint="eastAsia" w:ascii="仿宋_GB2312" w:hAnsi="仿宋_GB2312" w:cs="仿宋_GB2312"/>
          <w:b w:val="0"/>
          <w:bCs w:val="0"/>
          <w:kern w:val="2"/>
          <w:sz w:val="32"/>
          <w:szCs w:val="32"/>
          <w:lang w:eastAsia="zh-CN"/>
        </w:rPr>
        <w:t>，</w:t>
      </w:r>
      <w:r>
        <w:rPr>
          <w:rFonts w:ascii="仿宋_GB2312" w:hAnsi="仿宋_GB2312" w:eastAsia="仿宋_GB2312" w:cs="仿宋_GB2312"/>
          <w:b w:val="0"/>
          <w:bCs w:val="0"/>
          <w:kern w:val="2"/>
          <w:sz w:val="32"/>
          <w:szCs w:val="32"/>
        </w:rPr>
        <w:t>初步摸清生物多样性的种类、分布格局、资源丰富度、资源价值、受威胁程度、保护与利用现状等</w:t>
      </w:r>
      <w:r>
        <w:rPr>
          <w:rFonts w:hint="eastAsia" w:ascii="仿宋_GB2312" w:hAnsi="仿宋_GB2312" w:cs="仿宋_GB2312"/>
          <w:b w:val="0"/>
          <w:bCs w:val="0"/>
          <w:kern w:val="2"/>
          <w:sz w:val="32"/>
          <w:szCs w:val="32"/>
          <w:lang w:val="en-US" w:eastAsia="zh-CN"/>
        </w:rPr>
        <w:t>基础情况</w:t>
      </w:r>
      <w:r>
        <w:rPr>
          <w:rFonts w:ascii="仿宋_GB2312" w:hAnsi="仿宋_GB2312" w:eastAsia="仿宋_GB2312" w:cs="仿宋_GB2312"/>
          <w:b w:val="0"/>
          <w:bCs w:val="0"/>
          <w:kern w:val="2"/>
          <w:sz w:val="32"/>
          <w:szCs w:val="32"/>
        </w:rPr>
        <w:t>，首次发现中华珊瑚蛇、毛冠鹿等珍稀物种。</w:t>
      </w:r>
    </w:p>
    <w:p>
      <w:pPr>
        <w:pStyle w:val="158"/>
        <w:spacing w:line="600" w:lineRule="exact"/>
        <w:ind w:firstLine="640" w:firstLineChars="200"/>
        <w:outlineLvl w:val="1"/>
        <w:rPr>
          <w:rFonts w:hint="eastAsia" w:ascii="楷体_GB2312" w:hAnsi="楷体_GB2312" w:eastAsia="楷体_GB2312" w:cs="楷体_GB2312"/>
          <w:b w:val="0"/>
          <w:bCs w:val="0"/>
          <w:sz w:val="32"/>
          <w:szCs w:val="32"/>
        </w:rPr>
      </w:pPr>
      <w:bookmarkStart w:id="2" w:name="_Toc136717506"/>
      <w:r>
        <w:rPr>
          <w:rFonts w:hint="eastAsia" w:ascii="楷体_GB2312" w:hAnsi="楷体_GB2312" w:eastAsia="楷体_GB2312" w:cs="楷体_GB2312"/>
          <w:b w:val="0"/>
          <w:bCs w:val="0"/>
          <w:sz w:val="32"/>
          <w:szCs w:val="32"/>
        </w:rPr>
        <w:t>（三）推进生态保护修复，筑牢区域生态屏障</w:t>
      </w:r>
      <w:bookmarkEnd w:id="2"/>
    </w:p>
    <w:p>
      <w:pPr>
        <w:pStyle w:val="152"/>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严守发展</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生态两条底线，秉持“山水林田湖草</w:t>
      </w:r>
      <w:r>
        <w:rPr>
          <w:rFonts w:hint="eastAsia" w:ascii="仿宋_GB2312" w:hAnsi="仿宋_GB2312" w:eastAsia="仿宋_GB2312" w:cs="仿宋_GB2312"/>
          <w:b w:val="0"/>
          <w:bCs w:val="0"/>
          <w:sz w:val="32"/>
          <w:szCs w:val="32"/>
          <w:lang w:val="en-US" w:eastAsia="zh-CN"/>
        </w:rPr>
        <w:t>沙</w:t>
      </w:r>
      <w:r>
        <w:rPr>
          <w:rFonts w:hint="eastAsia" w:ascii="仿宋_GB2312" w:hAnsi="仿宋_GB2312" w:eastAsia="仿宋_GB2312" w:cs="仿宋_GB2312"/>
          <w:b w:val="0"/>
          <w:bCs w:val="0"/>
          <w:sz w:val="32"/>
          <w:szCs w:val="32"/>
        </w:rPr>
        <w:t>是生命共同体”理念，不断调整优化生态空间，初步形成“一河清流、百山拥城、千园竞美”</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“山水林城”格局。全面完成生态保护红线优化调整。初步建立“以国家公园为主体、以自然保护区为基础、以自然公园为补充”的自然保护地体系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施“绿盾”自然保护地监督检查专项行动，提升自然保护地保护成效。建成各类公园1025个，形成了“布局均衡、结构合理、功能完善、环境优美、贴近生活、服务群众”的公园绿地体系。扎实推进水土保持工作，全市水土保持率77.94%，高出全国平均水平近十个百分点。积极开展国土绿化行动，森林资源总量稳步增长，全市森林覆盖率</w:t>
      </w:r>
      <w:r>
        <w:rPr>
          <w:rFonts w:hint="eastAsia" w:ascii="仿宋_GB2312" w:hAnsi="仿宋_GB2312" w:eastAsia="仿宋_GB2312" w:cs="仿宋_GB2312"/>
          <w:b w:val="0"/>
          <w:bCs w:val="0"/>
          <w:sz w:val="32"/>
          <w:szCs w:val="32"/>
          <w:lang w:val="en-US" w:eastAsia="zh-CN"/>
        </w:rPr>
        <w:t>稳定在</w:t>
      </w:r>
      <w:r>
        <w:rPr>
          <w:rFonts w:hint="eastAsia" w:ascii="仿宋_GB2312" w:hAnsi="仿宋_GB2312" w:eastAsia="仿宋_GB2312" w:cs="仿宋_GB2312"/>
          <w:b w:val="0"/>
          <w:bCs w:val="0"/>
          <w:sz w:val="32"/>
          <w:szCs w:val="32"/>
        </w:rPr>
        <w:t>55%以上。积极探索生态保护与绿色发展双赢的矿山修复模式，花溪区成功打造“煤山变茶山、茶山变金山”的修复新路径，成为全省“守好发展和生态两条底线”的生动案例。建立矿山生态修复3D实景监管体系，全方位、多时段、多维度、高精度</w:t>
      </w:r>
      <w:r>
        <w:rPr>
          <w:rFonts w:hint="eastAsia" w:ascii="仿宋_GB2312" w:hAnsi="仿宋_GB2312" w:eastAsia="仿宋_GB2312" w:cs="仿宋_GB2312"/>
          <w:b w:val="0"/>
          <w:bCs w:val="0"/>
          <w:sz w:val="32"/>
          <w:szCs w:val="32"/>
          <w:lang w:val="en-US" w:eastAsia="zh-CN"/>
        </w:rPr>
        <w:t>地</w:t>
      </w:r>
      <w:r>
        <w:rPr>
          <w:rFonts w:hint="eastAsia" w:ascii="仿宋_GB2312" w:hAnsi="仿宋_GB2312" w:eastAsia="仿宋_GB2312" w:cs="仿宋_GB2312"/>
          <w:b w:val="0"/>
          <w:bCs w:val="0"/>
          <w:sz w:val="32"/>
          <w:szCs w:val="32"/>
        </w:rPr>
        <w:t>开展矿山生态修复监督管理。通过生态搬迁、村庄整治、景观规划、河道清淤、铺埋截污管和规范管理等途径推进花溪河治理，建成贵州省首个国家城市湿地公园。</w:t>
      </w:r>
    </w:p>
    <w:p>
      <w:pPr>
        <w:pStyle w:val="158"/>
        <w:spacing w:line="600" w:lineRule="exact"/>
        <w:ind w:firstLine="640" w:firstLineChars="200"/>
        <w:outlineLvl w:val="1"/>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（四）产业结构逐步优化，绿色经济提质增效</w:t>
      </w:r>
    </w:p>
    <w:p>
      <w:pPr>
        <w:widowControl/>
        <w:spacing w:beforeLines="0" w:afterLines="0" w:line="60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kern w:val="0"/>
          <w:sz w:val="32"/>
          <w:szCs w:val="32"/>
        </w:rPr>
        <w:t>大力推进绿色制造体系建设，加快两化融合，着力打造清洁、高效、低碳、循环的绿色工业体系。产业结构不断优化，三次产业结构占比达4.1:35.3:60.5。</w:t>
      </w:r>
      <w:r>
        <w:rPr>
          <w:rFonts w:hint="eastAsia" w:ascii="仿宋_GB2312" w:hAnsi="仿宋_GB2312" w:eastAsia="仿宋_GB2312" w:cs="仿宋_GB2312"/>
          <w:b/>
          <w:bCs/>
          <w:color w:val="000000"/>
          <w:kern w:val="0"/>
          <w:sz w:val="32"/>
          <w:szCs w:val="32"/>
        </w:rPr>
        <w:t>传统产业持续升级。</w:t>
      </w:r>
      <w:r>
        <w:rPr>
          <w:rFonts w:hint="eastAsia" w:ascii="仿宋_GB2312" w:hAnsi="仿宋_GB2312" w:eastAsia="仿宋_GB2312" w:cs="仿宋_GB2312"/>
          <w:b w:val="0"/>
          <w:bCs w:val="0"/>
          <w:color w:val="000000"/>
          <w:kern w:val="0"/>
          <w:sz w:val="32"/>
          <w:szCs w:val="32"/>
        </w:rPr>
        <w:t>大力实施“千企改造”“万企融合”。工业化和信息化两化融合水平超过全国平均水平，截至2022年，12家企业获国家级绿色工厂认定，绿色经济占地区生产总值比重提高到48%，万元地区生产总值能耗累计下降21.7%。</w:t>
      </w:r>
      <w:r>
        <w:rPr>
          <w:rFonts w:hint="eastAsia" w:ascii="仿宋_GB2312" w:hAnsi="仿宋_GB2312" w:eastAsia="仿宋_GB2312" w:cs="仿宋_GB2312"/>
          <w:b/>
          <w:bCs/>
          <w:color w:val="000000"/>
          <w:kern w:val="0"/>
          <w:sz w:val="32"/>
          <w:szCs w:val="32"/>
        </w:rPr>
        <w:t>能源结构持续优化。</w:t>
      </w:r>
      <w:r>
        <w:rPr>
          <w:rFonts w:hint="eastAsia" w:ascii="仿宋_GB2312" w:hAnsi="仿宋_GB2312" w:eastAsia="仿宋_GB2312" w:cs="仿宋_GB2312"/>
          <w:b w:val="0"/>
          <w:bCs w:val="0"/>
          <w:color w:val="000000"/>
          <w:kern w:val="0"/>
          <w:sz w:val="32"/>
          <w:szCs w:val="32"/>
        </w:rPr>
        <w:t>积极开发利用风能、太阳能等可再生能源，大力推进新能源基础设施建设，能源领域绿色低碳转型成果显著。煤炭消费比重降至17.7%、天然气消费比重由5.4%上升至10.1%。</w:t>
      </w:r>
      <w:r>
        <w:rPr>
          <w:rFonts w:hint="eastAsia" w:ascii="仿宋_GB2312" w:hAnsi="仿宋_GB2312" w:eastAsia="仿宋_GB2312" w:cs="仿宋_GB2312"/>
          <w:b/>
          <w:bCs/>
          <w:color w:val="000000"/>
          <w:kern w:val="0"/>
          <w:sz w:val="32"/>
          <w:szCs w:val="32"/>
        </w:rPr>
        <w:t>全域旅游加速发展。</w:t>
      </w:r>
      <w:r>
        <w:rPr>
          <w:rFonts w:hint="eastAsia" w:ascii="仿宋_GB2312" w:hAnsi="仿宋_GB2312" w:eastAsia="仿宋_GB2312" w:cs="仿宋_GB2312"/>
          <w:b w:val="0"/>
          <w:bCs w:val="0"/>
          <w:color w:val="000000"/>
          <w:kern w:val="0"/>
          <w:sz w:val="32"/>
          <w:szCs w:val="32"/>
        </w:rPr>
        <w:t>花溪区、乌当区先后成功创建国家全域旅游示范区</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全市</w:t>
      </w:r>
      <w:r>
        <w:rPr>
          <w:rFonts w:hint="eastAsia" w:ascii="仿宋_GB2312" w:hAnsi="仿宋_GB2312" w:eastAsia="仿宋_GB2312" w:cs="仿宋_GB2312"/>
          <w:b w:val="0"/>
          <w:bCs w:val="0"/>
          <w:color w:val="000000"/>
          <w:kern w:val="0"/>
          <w:sz w:val="32"/>
          <w:szCs w:val="32"/>
        </w:rPr>
        <w:t>国家全域旅游示范区数量居贵州省第一，避暑类全国第一</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旅游热度位居全国第八。创新旅游扶贫，全面实施“百区千村万户”乡村旅游扶贫工程，成效显著。</w:t>
      </w:r>
      <w:r>
        <w:rPr>
          <w:rFonts w:hint="eastAsia" w:ascii="仿宋_GB2312" w:hAnsi="仿宋_GB2312" w:eastAsia="仿宋_GB2312" w:cs="仿宋_GB2312"/>
          <w:b/>
          <w:bCs/>
          <w:color w:val="000000"/>
          <w:kern w:val="0"/>
          <w:sz w:val="32"/>
          <w:szCs w:val="32"/>
        </w:rPr>
        <w:t>大数据产业蓬勃发展。</w:t>
      </w:r>
      <w:r>
        <w:rPr>
          <w:rFonts w:hint="eastAsia" w:ascii="仿宋_GB2312" w:hAnsi="仿宋_GB2312" w:eastAsia="仿宋_GB2312" w:cs="仿宋_GB2312"/>
          <w:b w:val="0"/>
          <w:bCs w:val="0"/>
          <w:color w:val="000000"/>
          <w:kern w:val="0"/>
          <w:sz w:val="32"/>
          <w:szCs w:val="32"/>
        </w:rPr>
        <w:t>打造全球首个以大数据为主题的国家级展会——中国国际大数据产业博览会。先后获批建设国家级大数据产业发展集聚区、大数据产业技术创新试验区、大数据及网络安全示范试点城市、首批5G试点城市、首个大数据国家工程实验室、全国首家大数据交易所。成为西部地区唯一入选建设信息基础设施和推进产业数字化成效明显市，大数据与产业发展持续融合。2022年，大数据与实体经济深度融合发展水平指数达到55。</w:t>
      </w:r>
    </w:p>
    <w:p>
      <w:pPr>
        <w:pStyle w:val="158"/>
        <w:spacing w:line="600" w:lineRule="exact"/>
        <w:ind w:firstLine="640" w:firstLineChars="200"/>
        <w:outlineLvl w:val="1"/>
        <w:rPr>
          <w:rFonts w:hint="eastAsia" w:ascii="楷体_GB2312" w:hAnsi="楷体_GB2312" w:eastAsia="楷体_GB2312" w:cs="楷体_GB2312"/>
          <w:b w:val="0"/>
          <w:bCs w:val="0"/>
          <w:sz w:val="32"/>
          <w:szCs w:val="32"/>
        </w:rPr>
      </w:pPr>
      <w:bookmarkStart w:id="3" w:name="_Toc136717508"/>
      <w:r>
        <w:rPr>
          <w:rFonts w:hint="eastAsia" w:ascii="楷体_GB2312" w:hAnsi="楷体_GB2312" w:eastAsia="楷体_GB2312" w:cs="楷体_GB2312"/>
          <w:b w:val="0"/>
          <w:bCs w:val="0"/>
          <w:sz w:val="32"/>
          <w:szCs w:val="32"/>
        </w:rPr>
        <w:t>（五）生活方式绿色转型，生活品质全面改善</w:t>
      </w:r>
      <w:bookmarkEnd w:id="3"/>
    </w:p>
    <w:p>
      <w:pPr>
        <w:pStyle w:val="158"/>
        <w:spacing w:line="600" w:lineRule="exact"/>
        <w:ind w:firstLine="643"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城镇基础设施建设不断完善。</w:t>
      </w:r>
      <w:r>
        <w:rPr>
          <w:rFonts w:hint="eastAsia" w:ascii="仿宋_GB2312" w:hAnsi="仿宋_GB2312" w:eastAsia="仿宋_GB2312" w:cs="仿宋_GB2312"/>
          <w:b w:val="0"/>
          <w:bCs w:val="0"/>
          <w:sz w:val="32"/>
          <w:szCs w:val="32"/>
          <w:lang w:val="en-US" w:eastAsia="zh-CN"/>
        </w:rPr>
        <w:t>加强</w:t>
      </w:r>
      <w:r>
        <w:rPr>
          <w:rFonts w:hint="eastAsia" w:ascii="仿宋_GB2312" w:hAnsi="仿宋_GB2312" w:eastAsia="仿宋_GB2312" w:cs="仿宋_GB2312"/>
          <w:b w:val="0"/>
          <w:bCs w:val="0"/>
          <w:sz w:val="32"/>
          <w:szCs w:val="32"/>
        </w:rPr>
        <w:t>污水处理厂规划、建设和运行，全市建成城市污水处理厂54座（其中在全国率先建成19座分布式下沉污水处理厂），乡镇污水处理厂61座；2020-2022年，城市生活污水处理率分别为98.09%、98.88%、99.</w:t>
      </w:r>
      <w:r>
        <w:rPr>
          <w:rFonts w:hint="eastAsia" w:ascii="仿宋_GB2312" w:hAnsi="仿宋_GB2312" w:eastAsia="仿宋_GB2312" w:cs="仿宋_GB2312"/>
          <w:b w:val="0"/>
          <w:bCs w:val="0"/>
          <w:sz w:val="32"/>
          <w:szCs w:val="32"/>
          <w:lang w:val="en-US" w:eastAsia="zh-CN"/>
        </w:rPr>
        <w:t>09</w:t>
      </w:r>
      <w:r>
        <w:rPr>
          <w:rFonts w:hint="eastAsia" w:ascii="仿宋_GB2312" w:hAnsi="仿宋_GB2312" w:eastAsia="仿宋_GB2312" w:cs="仿宋_GB2312"/>
          <w:b w:val="0"/>
          <w:bCs w:val="0"/>
          <w:sz w:val="32"/>
          <w:szCs w:val="32"/>
        </w:rPr>
        <w:t>%。聚焦“五个环节”，建设城镇生活垃圾全程分类体系，推进21座大中型转运分类分拣中心建设，提升改造城区15座小型垃圾转运站，建成白云、乌当“餐厨+厨余”处理厂，南明花果园、云岩雅关和乌当高雁厨余垃圾处置中心，推进花溪地利物流园、修文农产品物流园的厨余垃圾处置</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，建成花溪焚烧厂二期、白云焚烧发电厂，启动开阳、清镇、东部（乌当）垃圾焚烧发电</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实现全市生活垃圾分类设施全覆盖，城区生活垃圾无害化处理率保持100%。按照“一个水库一个推进计划”，统筹推进水源工程建设，建成7个地级以上和7个县级集中式饮用水水源地水质自动监测站，16个县级以上集中式饮用水水源地水质达标率为100%。</w:t>
      </w:r>
      <w:r>
        <w:rPr>
          <w:rFonts w:hint="eastAsia" w:ascii="仿宋_GB2312" w:hAnsi="仿宋_GB2312" w:eastAsia="仿宋_GB2312" w:cs="仿宋_GB2312"/>
          <w:b/>
          <w:bCs/>
          <w:sz w:val="32"/>
          <w:szCs w:val="32"/>
        </w:rPr>
        <w:t>农村五治建设稳步推进。</w:t>
      </w:r>
      <w:r>
        <w:rPr>
          <w:rFonts w:hint="eastAsia" w:ascii="仿宋_GB2312" w:hAnsi="仿宋_GB2312" w:eastAsia="仿宋_GB2312" w:cs="仿宋_GB2312"/>
          <w:b w:val="0"/>
          <w:bCs w:val="0"/>
          <w:sz w:val="32"/>
          <w:szCs w:val="32"/>
        </w:rPr>
        <w:t>以农村“五治”为抓手，采取“五点减量法”和“一个乡镇一套收转运设施”开展农村垃圾治理，30户以上自然村寨生活垃圾收集设施实现全覆盖，农村生活垃圾无害化处理村占比100%。坚持“治厕治水同治、室内厕室外厕同治、公厕私厕同治”，实现农村旱厕基本清零。探索息烽“12345”、乌当“521”、花溪“村寨管家”、清镇“站+点+区”、观山湖“连心卡”五大农村人居环境整治模式，村容村貌明显提升，人居环境大幅改善，建成36个田园乡村·乡村振兴集成示范试点，花溪区青岩镇龙井村、开阳县南江乡毛家院村、清镇市站街镇杉树村、息烽县温泉镇兴隆村被评为全国乡村治理示范乡镇，开阳县禾丰乡马头村被评为中国美丽休闲乡村。</w:t>
      </w:r>
      <w:r>
        <w:rPr>
          <w:rFonts w:hint="eastAsia" w:ascii="仿宋_GB2312" w:hAnsi="仿宋_GB2312" w:eastAsia="仿宋_GB2312" w:cs="仿宋_GB2312"/>
          <w:b/>
          <w:bCs/>
          <w:sz w:val="32"/>
          <w:szCs w:val="32"/>
        </w:rPr>
        <w:t>绿色低碳行动持续开展。</w:t>
      </w:r>
      <w:r>
        <w:rPr>
          <w:rFonts w:hint="eastAsia" w:ascii="仿宋_GB2312" w:hAnsi="仿宋_GB2312" w:eastAsia="仿宋_GB2312" w:cs="仿宋_GB2312"/>
          <w:b w:val="0"/>
          <w:bCs w:val="0"/>
          <w:sz w:val="32"/>
          <w:szCs w:val="32"/>
        </w:rPr>
        <w:t>强化“智慧工地”建设，建成“一个平台、多个系统、一套标准”的数字监管体系，推进项目信息化管理。深度融合智慧交通、智能交通指挥和TOD平台，建成“国家公交都市建设示范城市”，</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sz w:val="32"/>
          <w:szCs w:val="32"/>
        </w:rPr>
        <w:t>全国乃至世界使用液化天然气城市公交车辆数量最多的城市，</w:t>
      </w:r>
      <w:r>
        <w:rPr>
          <w:rFonts w:hint="eastAsia" w:ascii="仿宋_GB2312" w:hAnsi="仿宋_GB2312" w:eastAsia="仿宋_GB2312" w:cs="仿宋_GB2312"/>
          <w:b w:val="0"/>
          <w:bCs w:val="0"/>
          <w:sz w:val="32"/>
          <w:szCs w:val="32"/>
          <w:lang w:val="en-US" w:eastAsia="zh-CN"/>
        </w:rPr>
        <w:t>成为</w:t>
      </w:r>
      <w:r>
        <w:rPr>
          <w:rFonts w:hint="eastAsia" w:ascii="仿宋_GB2312" w:hAnsi="仿宋_GB2312" w:eastAsia="仿宋_GB2312" w:cs="仿宋_GB2312"/>
          <w:b w:val="0"/>
          <w:bCs w:val="0"/>
          <w:sz w:val="32"/>
          <w:szCs w:val="32"/>
        </w:rPr>
        <w:t>中国车辆“油改气”的典范。加大建筑节能和绿色建筑推行力度，建成通过国际权威绿色生态评估体系认证的贵阳国际生态会议中心。实施绿色消费需求引领行动、绿色消费供给</w:t>
      </w:r>
      <w:r>
        <w:rPr>
          <w:rFonts w:hint="eastAsia" w:ascii="仿宋_GB2312" w:hAnsi="仿宋_GB2312" w:eastAsia="仿宋_GB2312" w:cs="仿宋_GB2312"/>
          <w:b w:val="0"/>
          <w:bCs w:val="0"/>
          <w:sz w:val="32"/>
          <w:szCs w:val="32"/>
          <w:lang w:val="en-US" w:eastAsia="zh-CN"/>
        </w:rPr>
        <w:t>优化行动</w:t>
      </w:r>
      <w:r>
        <w:rPr>
          <w:rFonts w:hint="eastAsia" w:ascii="仿宋_GB2312" w:hAnsi="仿宋_GB2312" w:eastAsia="仿宋_GB2312" w:cs="仿宋_GB2312"/>
          <w:b w:val="0"/>
          <w:bCs w:val="0"/>
          <w:sz w:val="32"/>
          <w:szCs w:val="32"/>
        </w:rPr>
        <w:t>、绿色流通推广行动、绿色消费激励行动、绿色消费规范行动，绿色消费理念深入人心。</w:t>
      </w:r>
    </w:p>
    <w:p>
      <w:pPr>
        <w:pStyle w:val="158"/>
        <w:spacing w:line="600" w:lineRule="exact"/>
        <w:ind w:firstLine="640" w:firstLineChars="200"/>
        <w:outlineLvl w:val="1"/>
        <w:rPr>
          <w:rFonts w:hint="eastAsia" w:ascii="楷体_GB2312" w:hAnsi="楷体_GB2312" w:eastAsia="楷体_GB2312" w:cs="楷体_GB2312"/>
          <w:b w:val="0"/>
          <w:bCs w:val="0"/>
          <w:sz w:val="32"/>
          <w:szCs w:val="32"/>
        </w:rPr>
      </w:pPr>
      <w:bookmarkStart w:id="4" w:name="_Toc136717509"/>
      <w:r>
        <w:rPr>
          <w:rFonts w:hint="eastAsia" w:ascii="楷体_GB2312" w:hAnsi="楷体_GB2312" w:eastAsia="楷体_GB2312" w:cs="楷体_GB2312"/>
          <w:b w:val="0"/>
          <w:bCs w:val="0"/>
          <w:sz w:val="32"/>
          <w:szCs w:val="32"/>
        </w:rPr>
        <w:t>（六）强化生态文明宣传，促进全民主动参与</w:t>
      </w:r>
      <w:bookmarkEnd w:id="4"/>
    </w:p>
    <w:p>
      <w:pPr>
        <w:pStyle w:val="2"/>
        <w:spacing w:beforeLines="0" w:afterLines="0" w:line="600" w:lineRule="exact"/>
        <w:ind w:left="0" w:leftChars="0" w:firstLine="640" w:firstLineChars="200"/>
        <w:rPr>
          <w:rFonts w:eastAsia="仿宋"/>
          <w:b w:val="0"/>
          <w:bCs w:val="0"/>
          <w:kern w:val="0"/>
          <w:sz w:val="32"/>
          <w:szCs w:val="32"/>
        </w:rPr>
      </w:pPr>
      <w:r>
        <w:rPr>
          <w:rFonts w:hint="eastAsia" w:ascii="仿宋_GB2312" w:hAnsi="仿宋_GB2312" w:eastAsia="仿宋_GB2312" w:cs="仿宋_GB2312"/>
          <w:b w:val="0"/>
          <w:bCs w:val="0"/>
          <w:kern w:val="0"/>
          <w:sz w:val="32"/>
          <w:szCs w:val="32"/>
        </w:rPr>
        <w:t>以生态文明“研究+宣传+教育”为抓手，持续完善生态文明宣教载体，丰富生态文化宣教形式，形成一批生态文明研究机构、绿色学校、生态文化教育基地，全力营造生态文化社会氛围。以生态文明贵阳国际论坛为纽带，广泛传播生态文明理念，向全世界展示“绿色建筑群”“低碳生活”“城市与乡村和谐并存”“传统文化与现代生活元素有机结合”等贵阳市生态文明建设实践成果，成功搭建了与美国、德国、意大利、法国、新加坡等17个国家生态建设、低碳经济建设的交流平台，广泛凝聚了“坚持人与自然和谐共生，坚持绿色发展、系统治理”“坚持多边主义应对气候变化”等多项共识。在全国首次出版《贵阳市生态文明城市建设读本》，将</w:t>
      </w:r>
      <w:r>
        <w:rPr>
          <w:rFonts w:hint="eastAsia" w:ascii="仿宋_GB2312" w:hAnsi="仿宋_GB2312" w:eastAsia="仿宋_GB2312" w:cs="仿宋_GB2312"/>
          <w:b w:val="0"/>
          <w:bCs w:val="0"/>
          <w:kern w:val="0"/>
          <w:sz w:val="32"/>
          <w:szCs w:val="32"/>
          <w:lang w:val="en-US" w:eastAsia="zh-CN"/>
        </w:rPr>
        <w:t>习近平</w:t>
      </w:r>
      <w:r>
        <w:rPr>
          <w:rFonts w:hint="eastAsia" w:ascii="仿宋_GB2312" w:hAnsi="仿宋_GB2312" w:eastAsia="仿宋_GB2312" w:cs="仿宋_GB2312"/>
          <w:b w:val="0"/>
          <w:bCs w:val="0"/>
          <w:kern w:val="0"/>
          <w:sz w:val="32"/>
          <w:szCs w:val="32"/>
        </w:rPr>
        <w:t>生态文明思想教育、生态环境教育列入全市中小学课程，建成绿色学校626所，占比超过70%。以贵阳生态科普馆为载体，向公众展示贵阳市生态环境保护成效与科普知识；在绿地公园、科教场馆、市区商圈、地铁交通等场所设置“生态打卡点”，设计“山包包”</w:t>
      </w:r>
      <w:r>
        <w:rPr>
          <w:rFonts w:hint="eastAsia" w:ascii="仿宋_GB2312" w:hAnsi="仿宋_GB2312" w:eastAsia="仿宋_GB2312" w:cs="仿宋_GB2312"/>
          <w:b w:val="0"/>
          <w:bCs w:val="0"/>
          <w:kern w:val="0"/>
          <w:sz w:val="32"/>
          <w:szCs w:val="32"/>
          <w:lang w:val="en-US" w:eastAsia="zh-CN"/>
        </w:rPr>
        <w:t>等</w:t>
      </w:r>
      <w:r>
        <w:rPr>
          <w:rFonts w:hint="eastAsia" w:ascii="仿宋_GB2312" w:hAnsi="仿宋_GB2312" w:eastAsia="仿宋_GB2312" w:cs="仿宋_GB2312"/>
          <w:b w:val="0"/>
          <w:bCs w:val="0"/>
          <w:kern w:val="0"/>
          <w:sz w:val="32"/>
          <w:szCs w:val="32"/>
        </w:rPr>
        <w:t>生态文创产品，举办生物多样性成果展，开展“关爱地球，保护环境”“6.5环境日共建清洁美丽世界”“美丽贵阳·山水林城——生态文明主题讲堂”“探寻绿色奥秘”等多主题活动，提升公众生态文明参与度。阿哈湖国家湿地公园入选首批国家林草科普基地，花溪壹簇世界花园、息烽南山驿站等入选贵州省省级自然教育基地。2022年建成全省第一家非遗数据库，各级非遗代表性项目达243个，建成省级非遗生产性保护示范基地2个。</w:t>
      </w:r>
      <w:r>
        <w:rPr>
          <w:rFonts w:eastAsia="仿宋"/>
          <w:b w:val="0"/>
          <w:bCs w:val="0"/>
          <w:kern w:val="0"/>
          <w:sz w:val="32"/>
          <w:szCs w:val="32"/>
        </w:rPr>
        <w:br w:type="page"/>
      </w:r>
    </w:p>
    <w:bookmarkEnd w:id="0"/>
    <w:p>
      <w:pPr>
        <w:pStyle w:val="160"/>
        <w:spacing w:line="600" w:lineRule="exact"/>
        <w:ind w:firstLine="640" w:firstLineChars="200"/>
        <w:outlineLvl w:val="0"/>
        <w:rPr>
          <w:b w:val="0"/>
          <w:bCs w:val="0"/>
        </w:rPr>
      </w:pPr>
      <w:bookmarkStart w:id="5" w:name="_Toc135907445"/>
      <w:bookmarkStart w:id="6" w:name="_Toc103694026"/>
      <w:r>
        <w:rPr>
          <w:b w:val="0"/>
          <w:bCs w:val="0"/>
        </w:rPr>
        <w:t>二、指导思想</w:t>
      </w:r>
      <w:bookmarkEnd w:id="5"/>
      <w:bookmarkEnd w:id="6"/>
    </w:p>
    <w:p>
      <w:pPr>
        <w:spacing w:beforeLines="0" w:afterLines="0"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深入贯彻落实习近平生态文明思想，全面贯彻党的二十大</w:t>
      </w:r>
      <w:r>
        <w:rPr>
          <w:rFonts w:hint="eastAsia" w:ascii="仿宋_GB2312" w:hAnsi="仿宋_GB2312" w:eastAsia="仿宋_GB2312" w:cs="仿宋_GB2312"/>
          <w:b w:val="0"/>
          <w:bCs w:val="0"/>
          <w:sz w:val="32"/>
          <w:szCs w:val="32"/>
          <w:lang w:val="en-US" w:eastAsia="zh-CN"/>
        </w:rPr>
        <w:t>精神</w:t>
      </w:r>
      <w:r>
        <w:rPr>
          <w:rFonts w:hint="eastAsia" w:ascii="仿宋_GB2312" w:hAnsi="仿宋_GB2312" w:eastAsia="仿宋_GB2312" w:cs="仿宋_GB2312"/>
          <w:b w:val="0"/>
          <w:bCs w:val="0"/>
          <w:sz w:val="32"/>
          <w:szCs w:val="32"/>
        </w:rPr>
        <w:t>、贵州省</w:t>
      </w:r>
      <w:r>
        <w:rPr>
          <w:rFonts w:hint="eastAsia"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rPr>
        <w:t>十三次党代会精神，以推动绿色发展，促进人与自然和谐共生为指引，积极抢抓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国务院关于支持贵州在新时代西部大开发上</w:t>
      </w:r>
      <w:r>
        <w:rPr>
          <w:rFonts w:hint="eastAsia" w:ascii="仿宋_GB2312" w:hAnsi="仿宋_GB2312" w:eastAsia="仿宋_GB2312" w:cs="仿宋_GB2312"/>
          <w:b w:val="0"/>
          <w:bCs w:val="0"/>
          <w:sz w:val="32"/>
          <w:szCs w:val="32"/>
          <w:lang w:val="en-US" w:eastAsia="zh-CN"/>
        </w:rPr>
        <w:t>闯</w:t>
      </w:r>
      <w:r>
        <w:rPr>
          <w:rFonts w:hint="eastAsia" w:ascii="仿宋_GB2312" w:hAnsi="仿宋_GB2312" w:eastAsia="仿宋_GB2312" w:cs="仿宋_GB2312"/>
          <w:b w:val="0"/>
          <w:bCs w:val="0"/>
          <w:sz w:val="32"/>
          <w:szCs w:val="32"/>
        </w:rPr>
        <w:t>新路的意见》</w:t>
      </w:r>
      <w:r>
        <w:rPr>
          <w:rFonts w:hint="eastAsia" w:ascii="仿宋_GB2312" w:hAnsi="仿宋_GB2312" w:eastAsia="仿宋_GB2312" w:cs="仿宋_GB2312"/>
          <w:b w:val="0"/>
          <w:bCs w:val="0"/>
          <w:sz w:val="32"/>
          <w:szCs w:val="32"/>
          <w:lang w:val="en-US" w:eastAsia="zh-CN"/>
        </w:rPr>
        <w:t>历史</w:t>
      </w:r>
      <w:r>
        <w:rPr>
          <w:rFonts w:hint="eastAsia" w:ascii="仿宋_GB2312" w:hAnsi="仿宋_GB2312" w:eastAsia="仿宋_GB2312" w:cs="仿宋_GB2312"/>
          <w:b w:val="0"/>
          <w:bCs w:val="0"/>
          <w:sz w:val="32"/>
          <w:szCs w:val="32"/>
        </w:rPr>
        <w:t>机遇，完整、准确、全面贯彻新发展理念，全面落实省委“一二三四”总体思路，紧扣高质量发展目标，面向国家西部大开发战略机遇，推进减污降碳协同增效，促进经济社会发展全面绿色转型，以高水平保护推动高质量发展，进一步彰显“强省会”的绿色竞争力，将贵阳市建成生态性更强的功能城市，为全省努力开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百姓富、生态美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的多彩贵州新未来提供贵阳方案，奋力当好西南地区生态文明建设出新绩的排头兵。</w:t>
      </w:r>
    </w:p>
    <w:p>
      <w:pPr>
        <w:pStyle w:val="160"/>
        <w:spacing w:line="600" w:lineRule="exact"/>
        <w:ind w:firstLine="640" w:firstLineChars="200"/>
        <w:outlineLvl w:val="0"/>
        <w:rPr>
          <w:b w:val="0"/>
          <w:bCs w:val="0"/>
        </w:rPr>
      </w:pPr>
      <w:bookmarkStart w:id="7" w:name="_Toc103694030"/>
      <w:bookmarkStart w:id="8" w:name="_Toc135907450"/>
      <w:r>
        <w:rPr>
          <w:b w:val="0"/>
          <w:bCs w:val="0"/>
        </w:rPr>
        <w:t>三、规划目标</w:t>
      </w:r>
      <w:bookmarkEnd w:id="7"/>
      <w:bookmarkEnd w:id="8"/>
    </w:p>
    <w:p>
      <w:pPr>
        <w:spacing w:beforeLines="0" w:afterLines="0"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rPr>
        <w:t>到2025年，</w:t>
      </w:r>
      <w:r>
        <w:rPr>
          <w:rFonts w:hint="eastAsia" w:ascii="仿宋_GB2312" w:hAnsi="仿宋_GB2312" w:eastAsia="仿宋_GB2312" w:cs="仿宋_GB2312"/>
          <w:bCs w:val="0"/>
          <w:sz w:val="32"/>
          <w:szCs w:val="32"/>
        </w:rPr>
        <w:t>生态空间格局持续优化</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生态环境质量巩固提升</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生态经济绿色循环化发展</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生态生活环境显著改善</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生态文化理念深入人心</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生态制度体系健全完善</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到2030年，打造长江上游绿色屏障建设示范区、西部地区绿色发展示范区、生态文明法治建设示范区、生态文明国际交流合作示范区</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到</w:t>
      </w:r>
      <w:r>
        <w:rPr>
          <w:rFonts w:hint="eastAsia" w:ascii="仿宋_GB2312" w:hAnsi="仿宋_GB2312" w:eastAsia="仿宋_GB2312" w:cs="仿宋_GB2312"/>
          <w:sz w:val="32"/>
          <w:szCs w:val="32"/>
        </w:rPr>
        <w:t>2035年，实现人与自然和谐共</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，全面建成美丽贵阳。</w:t>
      </w:r>
    </w:p>
    <w:p>
      <w:pPr>
        <w:pStyle w:val="160"/>
        <w:spacing w:line="600" w:lineRule="exact"/>
        <w:ind w:firstLine="640" w:firstLineChars="200"/>
        <w:outlineLvl w:val="0"/>
        <w:rPr>
          <w:b w:val="0"/>
          <w:bCs w:val="0"/>
        </w:rPr>
      </w:pPr>
      <w:bookmarkStart w:id="9" w:name="_Toc135907457"/>
      <w:r>
        <w:rPr>
          <w:b w:val="0"/>
          <w:bCs w:val="0"/>
        </w:rPr>
        <w:t>四、重点任务</w:t>
      </w:r>
      <w:bookmarkEnd w:id="9"/>
    </w:p>
    <w:p>
      <w:pPr>
        <w:spacing w:beforeLines="0" w:afterLines="0" w:line="600" w:lineRule="exact"/>
        <w:ind w:firstLine="640" w:firstLineChars="200"/>
        <w:outlineLvl w:val="1"/>
        <w:rPr>
          <w:rFonts w:hint="eastAsia" w:ascii="楷体_GB2312" w:hAnsi="楷体_GB2312" w:eastAsia="楷体_GB2312" w:cs="楷体_GB2312"/>
          <w:b w:val="0"/>
          <w:bCs w:val="0"/>
          <w:sz w:val="32"/>
          <w:szCs w:val="32"/>
          <w:lang w:val="en-US" w:eastAsia="zh-CN"/>
        </w:rPr>
      </w:pPr>
      <w:bookmarkStart w:id="10" w:name="_Toc135907458"/>
      <w:bookmarkStart w:id="11" w:name="_Toc129262784"/>
      <w:bookmarkStart w:id="12" w:name="_Toc129813636"/>
      <w:bookmarkStart w:id="13" w:name="_Toc134738952"/>
      <w:bookmarkStart w:id="14" w:name="_Toc131202379"/>
      <w:r>
        <w:rPr>
          <w:rFonts w:hint="eastAsia" w:ascii="楷体_GB2312" w:hAnsi="楷体_GB2312" w:eastAsia="楷体_GB2312" w:cs="楷体_GB2312"/>
          <w:b w:val="0"/>
          <w:bCs w:val="0"/>
          <w:sz w:val="32"/>
          <w:szCs w:val="32"/>
        </w:rPr>
        <w:t>（一）落实责任管理</w:t>
      </w:r>
      <w:r>
        <w:rPr>
          <w:rFonts w:hint="eastAsia" w:ascii="楷体_GB2312" w:hAnsi="楷体_GB2312" w:eastAsia="楷体_GB2312" w:cs="楷体_GB2312"/>
          <w:b w:val="0"/>
          <w:bCs w:val="0"/>
          <w:sz w:val="32"/>
          <w:szCs w:val="32"/>
          <w:lang w:val="en-US" w:eastAsia="zh-CN"/>
        </w:rPr>
        <w:t>要求</w:t>
      </w:r>
      <w:r>
        <w:rPr>
          <w:rFonts w:hint="eastAsia" w:ascii="楷体_GB2312" w:hAnsi="楷体_GB2312" w:eastAsia="楷体_GB2312" w:cs="楷体_GB2312"/>
          <w:b w:val="0"/>
          <w:bCs w:val="0"/>
          <w:sz w:val="32"/>
          <w:szCs w:val="32"/>
        </w:rPr>
        <w:t>，健全生态制度</w:t>
      </w:r>
      <w:bookmarkEnd w:id="10"/>
      <w:r>
        <w:rPr>
          <w:rFonts w:hint="eastAsia" w:ascii="楷体_GB2312" w:hAnsi="楷体_GB2312" w:eastAsia="楷体_GB2312" w:cs="楷体_GB2312"/>
          <w:b w:val="0"/>
          <w:bCs w:val="0"/>
          <w:sz w:val="32"/>
          <w:szCs w:val="32"/>
          <w:lang w:val="en-US" w:eastAsia="zh-CN"/>
        </w:rPr>
        <w:t>体系</w:t>
      </w:r>
    </w:p>
    <w:p>
      <w:pPr>
        <w:pStyle w:val="156"/>
        <w:numPr>
          <w:ilvl w:val="-1"/>
          <w:numId w:val="0"/>
        </w:numPr>
        <w:spacing w:line="600" w:lineRule="exact"/>
        <w:ind w:leftChars="200" w:firstLine="320" w:firstLineChars="100"/>
        <w:outlineLvl w:val="9"/>
        <w:rPr>
          <w:rFonts w:hint="eastAsia" w:ascii="仿宋_GB2312" w:hAnsi="仿宋_GB2312" w:eastAsia="仿宋_GB2312" w:cs="仿宋_GB2312"/>
          <w:b w:val="0"/>
          <w:bCs w:val="0"/>
          <w:sz w:val="32"/>
          <w:szCs w:val="32"/>
        </w:rPr>
      </w:pPr>
      <w:bookmarkStart w:id="15" w:name="_Toc135907459"/>
      <w:bookmarkStart w:id="16" w:name="_Toc135907463"/>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推动绿色屏障建设制度</w:t>
      </w:r>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健全空间规划体系、国土空间用途、河湖林长制、水环境融合、生态保护和修复制度。构建空间规划编制审批、实施监督、法规政策和技术标准体系。建立差别化国土空间用途转用机制，对以国家公园为主体的自然保护地、重要水源地、文物等实行特殊保护制度。强化建设用地年度指标管理，提高审批监管服务效能，建立健全横向部门协同、纵向三级联动的用地保障快速服务协调机制。推进排污权、用能权、用水权、碳排放权市场化交易，完善河湖管理保护机制。全面落实森林资源保护发展目标责任制，构建“党政同责、分级负责、部门联动、群众参与”的森林管护新机制。建立贵阳及周边地区饮用水水源联治共保体系，协调统一主要水体的环境功能要素目标、污染防治机制及评估考核制度。完善生态补偿制度，积极探索与长江、珠江中下游地区的横向生态保护补偿机制，开展西江滇黔桂粤澳、都柳江黔桂等跨省流域横向生态保护补偿机制的试点。完善生态环境损害赔偿制度，健全生态环境损害赔偿与行政执法和司法衔接机制，完善相关部门生态环境损害赔偿工作的协调机制，以及社会组织和第三方参与生态环境损害赔偿的诉讼机制，提升案件办理力度和赔偿义务人履行能力，加强环境损害评估能力和信息公开</w:t>
      </w:r>
      <w:r>
        <w:rPr>
          <w:rFonts w:hint="eastAsia" w:ascii="仿宋_GB2312" w:hAnsi="仿宋_GB2312" w:eastAsia="仿宋_GB2312" w:cs="仿宋_GB2312"/>
          <w:b w:val="0"/>
          <w:bCs w:val="0"/>
          <w:sz w:val="32"/>
          <w:szCs w:val="32"/>
          <w:lang w:val="en-US" w:eastAsia="zh-CN"/>
        </w:rPr>
        <w:t>力度</w:t>
      </w:r>
      <w:r>
        <w:rPr>
          <w:rFonts w:hint="eastAsia" w:ascii="仿宋_GB2312" w:hAnsi="仿宋_GB2312" w:eastAsia="仿宋_GB2312" w:cs="仿宋_GB2312"/>
          <w:b w:val="0"/>
          <w:bCs w:val="0"/>
          <w:sz w:val="32"/>
          <w:szCs w:val="32"/>
        </w:rPr>
        <w:t>。认真落实《贵阳市党政领导干部生态环境损害问责实施办法》，健全党政领导干部责任追究制度。</w:t>
      </w:r>
    </w:p>
    <w:p>
      <w:pPr>
        <w:pStyle w:val="156"/>
        <w:numPr>
          <w:ilvl w:val="-1"/>
          <w:numId w:val="0"/>
        </w:numPr>
        <w:spacing w:line="600" w:lineRule="exact"/>
        <w:ind w:leftChars="200" w:firstLine="320" w:firstLineChars="1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完善生态产品价值转化</w:t>
      </w:r>
      <w:r>
        <w:rPr>
          <w:rFonts w:hint="eastAsia" w:ascii="仿宋_GB2312" w:hAnsi="仿宋_GB2312" w:eastAsia="仿宋_GB2312" w:cs="仿宋_GB2312"/>
          <w:b w:val="0"/>
          <w:bCs w:val="0"/>
          <w:sz w:val="32"/>
          <w:szCs w:val="32"/>
          <w:lang w:val="en-US" w:eastAsia="zh-CN"/>
        </w:rPr>
        <w:t>机制</w:t>
      </w:r>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highlight w:val="none"/>
        </w:rPr>
        <w:t>逐步完善自然资源有偿使用、循环利用和总量管理</w:t>
      </w:r>
      <w:r>
        <w:rPr>
          <w:rFonts w:hint="eastAsia" w:ascii="仿宋_GB2312" w:hAnsi="仿宋_GB2312" w:eastAsia="仿宋_GB2312" w:cs="仿宋_GB2312"/>
          <w:b w:val="0"/>
          <w:bCs w:val="0"/>
          <w:sz w:val="32"/>
          <w:szCs w:val="32"/>
          <w:highlight w:val="none"/>
          <w:lang w:val="en-US" w:eastAsia="zh-CN"/>
        </w:rPr>
        <w:t>制度和</w:t>
      </w:r>
      <w:r>
        <w:rPr>
          <w:rFonts w:hint="eastAsia" w:ascii="仿宋_GB2312" w:hAnsi="仿宋_GB2312" w:eastAsia="仿宋_GB2312" w:cs="仿宋_GB2312"/>
          <w:b w:val="0"/>
          <w:bCs w:val="0"/>
          <w:sz w:val="32"/>
          <w:szCs w:val="32"/>
          <w:highlight w:val="none"/>
        </w:rPr>
        <w:t>生态产品价值核算与实现</w:t>
      </w:r>
      <w:r>
        <w:rPr>
          <w:rFonts w:hint="eastAsia" w:ascii="仿宋_GB2312" w:hAnsi="仿宋_GB2312" w:eastAsia="仿宋_GB2312" w:cs="仿宋_GB2312"/>
          <w:b w:val="0"/>
          <w:bCs w:val="0"/>
          <w:sz w:val="32"/>
          <w:szCs w:val="32"/>
          <w:highlight w:val="none"/>
          <w:lang w:val="en-US" w:eastAsia="zh-CN"/>
        </w:rPr>
        <w:t>机制</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rPr>
        <w:t>绿色交易市场和环境承载力监测预警机制。健全资源有偿使用制度，引入竞争机制，推进完善土地、水、矿产资源和国有森林</w:t>
      </w:r>
      <w:r>
        <w:rPr>
          <w:rFonts w:hint="eastAsia" w:ascii="仿宋_GB2312" w:hAnsi="仿宋_GB2312" w:eastAsia="仿宋_GB2312" w:cs="仿宋_GB2312"/>
          <w:b w:val="0"/>
          <w:bCs w:val="0"/>
          <w:sz w:val="32"/>
          <w:szCs w:val="32"/>
          <w:lang w:val="en-US" w:eastAsia="zh-CN"/>
        </w:rPr>
        <w:t>资源</w:t>
      </w:r>
      <w:r>
        <w:rPr>
          <w:rFonts w:hint="eastAsia" w:ascii="仿宋_GB2312" w:hAnsi="仿宋_GB2312" w:eastAsia="仿宋_GB2312" w:cs="仿宋_GB2312"/>
          <w:b w:val="0"/>
          <w:bCs w:val="0"/>
          <w:sz w:val="32"/>
          <w:szCs w:val="32"/>
        </w:rPr>
        <w:t>有偿使用，探索多样化有偿使用方式，推动全民所有自然资源资产有偿使用逐步纳入统一公共资源交易平台。完善资源循环利用制度和总量管理，鼓励建立再生资源区域交易中心，加快贵阳建设废旧物资循环利用体系示范城市，探索建立贵阳市畜禽养殖废弃物资源化利用工作联席会议制度。健全生态产品价值核算制度，探索建立贵阳GEP核算机制，完善GEP核算方法，探索建立体现市场供需关系的生态产品价格形成机制，分区域开展生态系统生产总值</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GEP</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核算试点，将GEP纳入国民经济统计核算体系，核算结果作为领导干部自然资源资产离任（任中）审计的重要参考。构建生态产品调查监测机制、评价机制和核算结果应用等体系，逐步完善生态产品价值实现机制。建立统一的核证技术规范、市场准入制度、定价机制、抵消机制等制度体系，推动绿色交易市场制度建立健全。建设集绿色交易数据报送、注册登记、交易管理为一体的区域绿色交易系统，搭建绿色交易平台。建设监测预警数据库和信息技术平台、一体化监测预警评价机制、监测预警评价结论统筹应用机制和资源超载监督机制，推动资源环境承载力监测预警机制建立健全。</w:t>
      </w:r>
    </w:p>
    <w:p>
      <w:pPr>
        <w:spacing w:before="0" w:beforeLines="0" w:after="0" w:afterLines="0" w:line="600" w:lineRule="exact"/>
        <w:ind w:firstLine="640" w:firstLineChars="200"/>
        <w:outlineLvl w:val="2"/>
        <w:rPr>
          <w:rFonts w:hint="eastAsia" w:ascii="仿宋_GB2312" w:hAnsi="仿宋_GB2312" w:eastAsia="仿宋_GB2312" w:cs="仿宋_GB2312"/>
          <w:b w:val="0"/>
          <w:bCs w:val="0"/>
          <w:sz w:val="32"/>
          <w:szCs w:val="32"/>
          <w:lang w:val="en-US" w:eastAsia="zh-CN"/>
        </w:rPr>
      </w:pPr>
      <w:bookmarkStart w:id="17" w:name="_Toc135907461"/>
      <w:r>
        <w:rPr>
          <w:rFonts w:hint="eastAsia" w:ascii="仿宋_GB2312" w:hAnsi="仿宋_GB2312" w:eastAsia="仿宋_GB2312" w:cs="仿宋_GB2312"/>
          <w:b w:val="0"/>
          <w:bCs w:val="0"/>
          <w:sz w:val="32"/>
          <w:szCs w:val="32"/>
          <w:lang w:val="en-US" w:eastAsia="zh-CN" w:bidi="ar"/>
        </w:rPr>
        <w:t>3.</w:t>
      </w:r>
      <w:r>
        <w:rPr>
          <w:rFonts w:hint="eastAsia" w:ascii="仿宋_GB2312" w:hAnsi="仿宋_GB2312" w:eastAsia="仿宋_GB2312" w:cs="仿宋_GB2312"/>
          <w:b w:val="0"/>
          <w:bCs w:val="0"/>
          <w:sz w:val="32"/>
          <w:szCs w:val="32"/>
          <w:lang w:bidi="ar"/>
        </w:rPr>
        <w:t>推进生态保护和修复制度</w:t>
      </w:r>
      <w:bookmarkEnd w:id="17"/>
    </w:p>
    <w:p>
      <w:pPr>
        <w:spacing w:before="0" w:beforeLines="0" w:after="0" w:afterLines="0"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完善生态补偿制度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建立市场交易机制。健全自然资源资产有偿使用制度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用水权初始分配制度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全面实行排污许可制</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健全排污权有偿使用制度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积极参与全国碳排放权交易，探索开展火电企业排放二氧化碳与森林碳汇生态补偿机制试点。探索多样化生态补偿方式</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大力发展特色优势农业、林特产业和林下经济。鼓励将环境污染防治、生态系统保护修复等工程与生态产业发展有机融合。探索建立占用补偿、损害赔偿与保护补偿协同推进制度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大力推动生物多样性保护重大工程、有害生物风险防控治理、野生动物疫源疫病监测等的评估体系构建。完善生态环境损害赔偿制度</w:t>
      </w:r>
      <w:r>
        <w:rPr>
          <w:rFonts w:hint="eastAsia" w:ascii="仿宋_GB2312" w:hAnsi="仿宋_GB2312" w:eastAsia="仿宋_GB2312" w:cs="仿宋_GB2312"/>
          <w:bCs/>
          <w:sz w:val="32"/>
          <w:szCs w:val="32"/>
          <w:lang w:eastAsia="zh-CN" w:bidi="ar"/>
        </w:rPr>
        <w:t>，</w:t>
      </w:r>
      <w:bookmarkStart w:id="18" w:name="_Hlk135960739"/>
      <w:r>
        <w:rPr>
          <w:rFonts w:hint="eastAsia" w:ascii="仿宋_GB2312" w:hAnsi="仿宋_GB2312" w:eastAsia="仿宋_GB2312" w:cs="仿宋_GB2312"/>
          <w:bCs/>
          <w:sz w:val="32"/>
          <w:szCs w:val="32"/>
          <w:lang w:bidi="ar"/>
        </w:rPr>
        <w:t>建立健全第三方参与生态环境损害赔偿诉讼机制，推进生态环境损害赔偿制度改革试点，</w:t>
      </w:r>
      <w:r>
        <w:rPr>
          <w:rFonts w:hint="eastAsia" w:ascii="仿宋_GB2312" w:hAnsi="仿宋_GB2312" w:eastAsia="仿宋_GB2312" w:cs="仿宋_GB2312"/>
          <w:bCs/>
          <w:sz w:val="32"/>
          <w:szCs w:val="32"/>
          <w:lang w:val="en-US" w:eastAsia="zh-CN" w:bidi="ar"/>
        </w:rPr>
        <w:t>健全</w:t>
      </w:r>
      <w:r>
        <w:rPr>
          <w:rFonts w:hint="eastAsia" w:ascii="仿宋_GB2312" w:hAnsi="仿宋_GB2312" w:eastAsia="仿宋_GB2312" w:cs="仿宋_GB2312"/>
          <w:bCs/>
          <w:sz w:val="32"/>
          <w:szCs w:val="32"/>
          <w:lang w:bidi="ar"/>
        </w:rPr>
        <w:t>贯彻落实工作机制，</w:t>
      </w:r>
      <w:r>
        <w:rPr>
          <w:rFonts w:hint="eastAsia" w:ascii="仿宋_GB2312" w:hAnsi="仿宋_GB2312" w:eastAsia="仿宋_GB2312" w:cs="仿宋_GB2312"/>
          <w:bCs/>
          <w:sz w:val="32"/>
          <w:szCs w:val="32"/>
          <w:lang w:val="en-US" w:eastAsia="zh-CN" w:bidi="ar"/>
        </w:rPr>
        <w:t>落实定期</w:t>
      </w:r>
      <w:r>
        <w:rPr>
          <w:rFonts w:hint="eastAsia" w:ascii="仿宋_GB2312" w:hAnsi="仿宋_GB2312" w:eastAsia="仿宋_GB2312" w:cs="仿宋_GB2312"/>
          <w:bCs/>
          <w:sz w:val="32"/>
          <w:szCs w:val="32"/>
          <w:lang w:bidi="ar"/>
        </w:rPr>
        <w:t>调度机制，</w:t>
      </w:r>
      <w:r>
        <w:rPr>
          <w:rFonts w:hint="eastAsia" w:ascii="仿宋_GB2312" w:hAnsi="仿宋_GB2312" w:eastAsia="仿宋_GB2312" w:cs="仿宋_GB2312"/>
          <w:bCs/>
          <w:sz w:val="32"/>
          <w:szCs w:val="32"/>
          <w:lang w:val="en-US" w:eastAsia="zh-CN" w:bidi="ar"/>
        </w:rPr>
        <w:t>严格落实</w:t>
      </w:r>
      <w:r>
        <w:rPr>
          <w:rFonts w:hint="eastAsia" w:ascii="仿宋_GB2312" w:hAnsi="仿宋_GB2312" w:eastAsia="仿宋_GB2312" w:cs="仿宋_GB2312"/>
          <w:bCs/>
          <w:sz w:val="32"/>
          <w:szCs w:val="32"/>
          <w:lang w:bidi="ar"/>
        </w:rPr>
        <w:t>《生态环境损害赔偿管理规定》</w:t>
      </w:r>
      <w:r>
        <w:rPr>
          <w:rFonts w:hint="eastAsia" w:ascii="仿宋_GB2312" w:hAnsi="仿宋_GB2312" w:eastAsia="仿宋_GB2312" w:cs="仿宋_GB2312"/>
          <w:bCs/>
          <w:sz w:val="32"/>
          <w:szCs w:val="32"/>
          <w:lang w:val="en-US" w:eastAsia="zh-CN" w:bidi="ar"/>
        </w:rPr>
        <w:t>及有关规定</w:t>
      </w:r>
      <w:r>
        <w:rPr>
          <w:rFonts w:hint="eastAsia" w:ascii="仿宋_GB2312" w:hAnsi="仿宋_GB2312" w:eastAsia="仿宋_GB2312" w:cs="仿宋_GB2312"/>
          <w:bCs/>
          <w:sz w:val="32"/>
          <w:szCs w:val="32"/>
          <w:lang w:bidi="ar"/>
        </w:rPr>
        <w:t>。加大生态环境损害赔偿案件办理力度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探索建立生态环境、自然资源、住房城乡建设、农业农村、林业、水务以及公检法部门联席会议制度。</w:t>
      </w:r>
      <w:bookmarkEnd w:id="18"/>
      <w:r>
        <w:rPr>
          <w:rFonts w:hint="eastAsia" w:ascii="仿宋_GB2312" w:hAnsi="仿宋_GB2312" w:eastAsia="仿宋_GB2312" w:cs="仿宋_GB2312"/>
          <w:bCs/>
          <w:sz w:val="32"/>
          <w:szCs w:val="32"/>
          <w:lang w:bidi="ar"/>
        </w:rPr>
        <w:t>严格实行生态环境责任追究制度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认真落实《贵阳市党政领导干部生态环境损害问责实施办法》，实行一岗双责制，将生态环境保护作为领导干部考核审计的重点内容，与干部任期考核、选拔任用相结合，建立生态环境损害责任领导干部终身追究制。强化生态环境信息公开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依法扩大信息主动公开的范围，规范和畅通信息公开的渠道</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逐月公布人民群众和新闻媒体反映的环境案件处理情况，及时准确披露各类环境信息，扩大公开范围，保障公众知情权，维护公众环境权益。</w:t>
      </w:r>
    </w:p>
    <w:p>
      <w:pPr>
        <w:spacing w:before="0" w:beforeLines="0" w:after="0" w:afterLines="0"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推进生态文明大数据建设</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创新生态环境管理模式，统筹建设生态环境质量监测、污染源监管、环境治理的业务体系，理清生态环境管理对象，实现测管治协同，优化跨业务部门的业务运行模式，打造统一步调的指挥调度体系。</w:t>
      </w:r>
    </w:p>
    <w:p>
      <w:pPr>
        <w:spacing w:before="0" w:beforeLines="0" w:after="0" w:afterLines="0" w:line="600" w:lineRule="exact"/>
        <w:ind w:firstLine="640" w:firstLineChars="200"/>
        <w:outlineLvl w:val="2"/>
        <w:rPr>
          <w:rFonts w:hint="eastAsia" w:ascii="仿宋_GB2312" w:hAnsi="仿宋_GB2312" w:eastAsia="仿宋_GB2312" w:cs="仿宋_GB2312"/>
          <w:b w:val="0"/>
          <w:bCs w:val="0"/>
          <w:sz w:val="32"/>
          <w:szCs w:val="32"/>
          <w:u w:val="none"/>
        </w:rPr>
      </w:pPr>
      <w:bookmarkStart w:id="19" w:name="_Toc135907462"/>
      <w:r>
        <w:rPr>
          <w:rFonts w:hint="eastAsia" w:ascii="仿宋_GB2312" w:hAnsi="仿宋_GB2312" w:eastAsia="仿宋_GB2312" w:cs="仿宋_GB2312"/>
          <w:b w:val="0"/>
          <w:bCs w:val="0"/>
          <w:sz w:val="32"/>
          <w:szCs w:val="32"/>
          <w:u w:val="none"/>
          <w:lang w:bidi="ar"/>
        </w:rPr>
        <w:t>4</w:t>
      </w:r>
      <w:r>
        <w:rPr>
          <w:rFonts w:hint="eastAsia" w:ascii="仿宋_GB2312" w:hAnsi="仿宋_GB2312" w:eastAsia="仿宋_GB2312" w:cs="仿宋_GB2312"/>
          <w:b w:val="0"/>
          <w:bCs w:val="0"/>
          <w:sz w:val="32"/>
          <w:szCs w:val="32"/>
          <w:u w:val="none"/>
          <w:lang w:val="en-US" w:eastAsia="zh-CN" w:bidi="ar"/>
        </w:rPr>
        <w:t>.</w:t>
      </w:r>
      <w:r>
        <w:rPr>
          <w:rFonts w:hint="eastAsia" w:ascii="仿宋_GB2312" w:hAnsi="仿宋_GB2312" w:eastAsia="仿宋_GB2312" w:cs="仿宋_GB2312"/>
          <w:b w:val="0"/>
          <w:bCs w:val="0"/>
          <w:sz w:val="32"/>
          <w:szCs w:val="32"/>
          <w:u w:val="none"/>
          <w:lang w:bidi="ar"/>
        </w:rPr>
        <w:t>健全资源高效利用制度</w:t>
      </w:r>
      <w:bookmarkEnd w:id="19"/>
    </w:p>
    <w:p>
      <w:pPr>
        <w:spacing w:before="0" w:beforeLines="0" w:after="0" w:afterLines="0" w:line="600" w:lineRule="exact"/>
        <w:ind w:firstLine="640" w:firstLineChars="200"/>
        <w:outlineLvl w:val="9"/>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健全资源总量管理制度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完善基本农田保护制度，强化耕地质量保护与提升建设</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完善水资源管理制度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健全用水总量控制制度，保障水资源安全。健全矿业权登记制度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将矿业权审批登记制改革为矿业权出让合同约定登记制。建立资源环境承载力监测预警机制</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建设监测预警数据库和信息技术平台</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建立一体化监测预警评价机制</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监测预警评价结论统筹应用机制</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资源超载监督机制。完善资源循环利用制度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鼓励建立再生资源区域交易中心，推进生活垃圾分类回收体系与再生资源回收利用体系“两网融合”，建立完善生活垃圾分类法规制度体系和生活垃圾分类制度体系，因地制宜完善生活垃圾分类投放、分类收集、分类运输、分类处理系统。探索建立低值废弃物回收处理基金，推进建设地方资源循环再利用静脉产业园</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加强畜禽养殖废弃物资源化利用共性和关键技术装备研发与转化推广力度</w:t>
      </w:r>
      <w:r>
        <w:rPr>
          <w:rFonts w:hint="eastAsia" w:ascii="仿宋_GB2312" w:hAnsi="仿宋_GB2312" w:eastAsia="仿宋_GB2312" w:cs="仿宋_GB2312"/>
          <w:bCs/>
          <w:sz w:val="32"/>
          <w:szCs w:val="32"/>
          <w:lang w:eastAsia="zh-CN" w:bidi="ar"/>
        </w:rPr>
        <w:t>，</w:t>
      </w:r>
      <w:r>
        <w:rPr>
          <w:rFonts w:hint="eastAsia" w:ascii="仿宋_GB2312" w:hAnsi="仿宋_GB2312" w:eastAsia="仿宋_GB2312" w:cs="仿宋_GB2312"/>
          <w:bCs/>
          <w:sz w:val="32"/>
          <w:szCs w:val="32"/>
          <w:lang w:bidi="ar"/>
        </w:rPr>
        <w:t>支持企业对磷石膏进行无害化处理，鼓励企业优先采用生态修复等方式对磷石膏加以利用。</w:t>
      </w:r>
    </w:p>
    <w:p>
      <w:pPr>
        <w:spacing w:before="0" w:beforeLines="0" w:after="0" w:afterLines="0"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.强化生态环境责任制度</w:t>
      </w:r>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全面落实</w:t>
      </w:r>
      <w:r>
        <w:rPr>
          <w:rFonts w:hint="eastAsia" w:ascii="仿宋_GB2312" w:hAnsi="仿宋_GB2312" w:eastAsia="仿宋_GB2312" w:cs="仿宋_GB2312"/>
          <w:b w:val="0"/>
          <w:bCs w:val="0"/>
          <w:sz w:val="32"/>
          <w:szCs w:val="32"/>
        </w:rPr>
        <w:t>党政同责机制、党政领导干部自然资源资产离任审计和生态文明目标评价考核制度。全面落实生态环境保护工作责任，修订《贵阳市党政领导干部生态环境损害问责实施办法》，探索市区两级联动机制，充分发挥生态环境部门的主职主责，切实促进属地党委政府生态环境责任的落实落细。加强审计队伍建设，提高审计干部做好新时期领导干部自然资源资产离任审计工作的能力和素质，加大审计机关与生态环保等相关部门的协调配合，扎实推进领导干部自然资源资产离任审计。强化生态文明建设目标评价考核结果应用，采用熵值法等</w:t>
      </w:r>
      <w:r>
        <w:rPr>
          <w:rFonts w:hint="eastAsia" w:ascii="仿宋_GB2312" w:hAnsi="仿宋_GB2312" w:eastAsia="仿宋_GB2312" w:cs="仿宋_GB2312"/>
          <w:b w:val="0"/>
          <w:bCs w:val="0"/>
          <w:sz w:val="32"/>
          <w:szCs w:val="32"/>
          <w:lang w:val="en-US" w:eastAsia="zh-CN"/>
        </w:rPr>
        <w:t>方法</w:t>
      </w:r>
      <w:r>
        <w:rPr>
          <w:rFonts w:hint="eastAsia" w:ascii="仿宋_GB2312" w:hAnsi="仿宋_GB2312" w:eastAsia="仿宋_GB2312" w:cs="仿宋_GB2312"/>
          <w:b w:val="0"/>
          <w:bCs w:val="0"/>
          <w:sz w:val="32"/>
          <w:szCs w:val="32"/>
        </w:rPr>
        <w:t>建立本土化生态文明评价指标体系，将生态文明目标评价考核结果作为评价领导干部政绩、年度考核和选拔任用的重要依据。</w:t>
      </w:r>
    </w:p>
    <w:p>
      <w:pPr>
        <w:pStyle w:val="156"/>
        <w:numPr>
          <w:ilvl w:val="-1"/>
          <w:numId w:val="0"/>
        </w:numPr>
        <w:spacing w:line="600" w:lineRule="exact"/>
        <w:ind w:leftChars="200" w:firstLine="0" w:firstLineChars="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构建现代环境治理体系</w:t>
      </w:r>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健全环境治理企业责任、市场、信用和法治体系。强化落实排污许可管理制度，加快推进固定污染源排污许可证全覆盖，全面推进环评许可、排污许可和入河排污口许可“三合一”改革。推进生产服务绿色化，从源头防治污染，优化原料投入，依法依规淘汰落后生产工艺</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技术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提高治污能力和水平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营造公平有序的市场环境，深入推进“放管服”改革，平等对待各类市场主体，引导各类资本公平参与环境治理投资、建设、运行。严格遵循“谁污染、谁付费”政策导向，深化环境价格改革。严格执行环境保护税法，落实好促进环境保护和污染防治的税收优惠政策，加强财税政策支持。建立健全环境治理政务失信记录，加强政务诚信建设。遵照“双公示”有关工作要求，将行政许可、行政处罚案件信息录入系统，执行企业环境信用评价。加强贵阳市地方性生态环境保护制度更新，健全地方生态环境法治体系建设。在生态保护“两庭三局”司法体系、“贵阳政法大数据办案系统”和“司法、行政、公众”联动机制基础上，全面推进生态环境、公安、检察院、法院等多部门环境司法联动，建立相关联合执法常态化机制。</w:t>
      </w:r>
    </w:p>
    <w:bookmarkEnd w:id="11"/>
    <w:bookmarkEnd w:id="12"/>
    <w:bookmarkEnd w:id="13"/>
    <w:bookmarkEnd w:id="14"/>
    <w:bookmarkEnd w:id="15"/>
    <w:bookmarkEnd w:id="16"/>
    <w:p>
      <w:pPr>
        <w:spacing w:beforeLines="0" w:afterLines="0" w:line="600" w:lineRule="exact"/>
        <w:ind w:firstLine="640" w:firstLineChars="200"/>
        <w:jc w:val="both"/>
        <w:outlineLvl w:val="1"/>
        <w:rPr>
          <w:rFonts w:hint="eastAsia" w:ascii="楷体_GB2312" w:hAnsi="楷体_GB2312" w:eastAsia="楷体_GB2312" w:cs="楷体_GB2312"/>
          <w:b w:val="0"/>
          <w:bCs w:val="0"/>
          <w:sz w:val="32"/>
          <w:szCs w:val="32"/>
        </w:rPr>
      </w:pPr>
      <w:bookmarkStart w:id="20" w:name="OLE_LINK1"/>
      <w:bookmarkStart w:id="21" w:name="_Toc135907465"/>
      <w:bookmarkStart w:id="22" w:name="_Toc103694038"/>
      <w:r>
        <w:rPr>
          <w:rFonts w:hint="eastAsia" w:ascii="楷体_GB2312" w:hAnsi="楷体_GB2312" w:eastAsia="楷体_GB2312" w:cs="楷体_GB2312"/>
          <w:b w:val="0"/>
          <w:bCs w:val="0"/>
          <w:sz w:val="32"/>
          <w:szCs w:val="32"/>
        </w:rPr>
        <w:t>（二）深入污染攻坚治理</w:t>
      </w:r>
      <w:bookmarkEnd w:id="20"/>
      <w:r>
        <w:rPr>
          <w:rFonts w:hint="eastAsia" w:ascii="楷体_GB2312" w:hAnsi="楷体_GB2312" w:eastAsia="楷体_GB2312" w:cs="楷体_GB2312"/>
          <w:b w:val="0"/>
          <w:bCs w:val="0"/>
          <w:sz w:val="32"/>
          <w:szCs w:val="32"/>
        </w:rPr>
        <w:t>，擦亮“爽爽贵阳”名片</w:t>
      </w:r>
      <w:bookmarkEnd w:id="21"/>
    </w:p>
    <w:p>
      <w:pPr>
        <w:pStyle w:val="156"/>
        <w:spacing w:line="600" w:lineRule="exact"/>
        <w:ind w:firstLine="640" w:firstLineChars="200"/>
        <w:outlineLvl w:val="9"/>
        <w:rPr>
          <w:rFonts w:hint="eastAsia" w:ascii="仿宋_GB2312" w:hAnsi="仿宋_GB2312" w:eastAsia="仿宋_GB2312" w:cs="仿宋_GB2312"/>
          <w:b w:val="0"/>
          <w:bCs w:val="0"/>
          <w:sz w:val="32"/>
          <w:szCs w:val="32"/>
        </w:rPr>
      </w:pPr>
      <w:bookmarkStart w:id="23" w:name="_Toc135907466"/>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持续巩固环境空气质量</w:t>
      </w:r>
      <w:bookmarkEnd w:id="23"/>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强化工业企业深度治理。继续推动重点行业超低排放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结构调整和污染治理力度，深入开展淘汰落后产能工作。加强燃煤锅炉及工业炉窑综合治理，加强臭氧前体物VOCs重点排放企业监管和治理，严格道路移动污染源监管，持续深入打好柴油货车污染防治攻坚战。加大城市扬尘管控，加快推进“智慧工地”监管平台建设，实施建筑工地扬尘监测全覆盖。推动多污染物协同治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协同控制颗粒物和挥发性有机物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开展重点区域大气污染规律分析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协同控制移动源颗粒物和氮氧化物，严格执行车用汽油质量标准，加大柴油使用环节检查力度，强化在用车排放检验。完善空气精细化管控体系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建立健全大气污染精准管控和预测预报体系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完善贵阳市大气污染防治精细化管控服务，构建本地化典型污染源谱库。重点推进黑烟车遥感监测系统等建设，提高移动源监管水平，构建“用数据管理、用数据决策、用数据创新”的大气污染管理机制。</w:t>
      </w:r>
    </w:p>
    <w:p>
      <w:pPr>
        <w:pStyle w:val="156"/>
        <w:numPr>
          <w:ilvl w:val="-1"/>
          <w:numId w:val="0"/>
        </w:numPr>
        <w:spacing w:line="600" w:lineRule="exact"/>
        <w:ind w:firstLine="640" w:firstLineChars="200"/>
        <w:outlineLvl w:val="9"/>
        <w:rPr>
          <w:rFonts w:hint="default" w:ascii="仿宋_GB2312" w:hAnsi="仿宋_GB2312" w:eastAsia="仿宋_GB2312" w:cs="仿宋_GB2312"/>
          <w:b w:val="0"/>
          <w:bCs w:val="0"/>
          <w:sz w:val="32"/>
          <w:szCs w:val="32"/>
        </w:rPr>
      </w:pPr>
      <w:bookmarkStart w:id="24" w:name="_Toc135907467"/>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rPr>
        <w:t>稳步提升水环境质量</w:t>
      </w:r>
      <w:bookmarkEnd w:id="24"/>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提升小流域水环境质量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强化工业污染治理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根据“三磷”排查结果，实施一批含磷废水治理工程，督促“三磷”企业环境整治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按照“控制外源、清除内源”的思路，进一步提升光洞河、谷撒河、洋水河、息烽河水质。巩固</w:t>
      </w:r>
      <w:r>
        <w:rPr>
          <w:rFonts w:hint="eastAsia" w:ascii="仿宋_GB2312" w:hAnsi="仿宋_GB2312" w:eastAsia="仿宋_GB2312" w:cs="仿宋_GB2312"/>
          <w:b w:val="0"/>
          <w:bCs w:val="0"/>
          <w:sz w:val="32"/>
          <w:szCs w:val="32"/>
          <w:lang w:val="en-US" w:eastAsia="zh-CN"/>
        </w:rPr>
        <w:t>城市</w:t>
      </w:r>
      <w:r>
        <w:rPr>
          <w:rFonts w:hint="eastAsia" w:ascii="仿宋_GB2312" w:hAnsi="仿宋_GB2312" w:eastAsia="仿宋_GB2312" w:cs="仿宋_GB2312"/>
          <w:b w:val="0"/>
          <w:bCs w:val="0"/>
          <w:sz w:val="32"/>
          <w:szCs w:val="32"/>
        </w:rPr>
        <w:t>黑臭水体治理成效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落实长效管理机制，定期对已消除的黑臭水体进行</w:t>
      </w:r>
      <w:r>
        <w:rPr>
          <w:rFonts w:hint="eastAsia" w:ascii="仿宋_GB2312" w:hAnsi="仿宋_GB2312" w:eastAsia="仿宋_GB2312" w:cs="仿宋_GB2312"/>
          <w:b w:val="0"/>
          <w:bCs w:val="0"/>
          <w:sz w:val="32"/>
          <w:szCs w:val="32"/>
          <w:lang w:eastAsia="zh-CN"/>
        </w:rPr>
        <w:t>动态</w:t>
      </w:r>
      <w:r>
        <w:rPr>
          <w:rFonts w:hint="eastAsia" w:ascii="仿宋_GB2312" w:hAnsi="仿宋_GB2312" w:eastAsia="仿宋_GB2312" w:cs="仿宋_GB2312"/>
          <w:b w:val="0"/>
          <w:bCs w:val="0"/>
          <w:sz w:val="32"/>
          <w:szCs w:val="32"/>
          <w:lang w:val="en-US" w:eastAsia="zh-CN"/>
        </w:rPr>
        <w:t>巡查；</w:t>
      </w:r>
      <w:r>
        <w:rPr>
          <w:rFonts w:hint="eastAsia" w:ascii="仿宋_GB2312" w:hAnsi="仿宋_GB2312" w:eastAsia="仿宋_GB2312" w:cs="仿宋_GB2312"/>
          <w:b w:val="0"/>
          <w:bCs w:val="0"/>
          <w:color w:val="auto"/>
          <w:sz w:val="32"/>
          <w:szCs w:val="32"/>
        </w:rPr>
        <w:t>开展城市黑臭水体动态排查，排查发现的新增黑臭水体要纳入清单，科学制定整治方案，限期治理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加快农村黑臭水体治理进度，因地制宜采用“源头截污控源-过程污染治理-资源回用或末端达标排放”等控源截污技术模式，明确后期运维管理责任。持续推进入河排污口整治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科学建立入河排污口台账，摸清贵阳107条及托管区域河流入河排污口数量及其分布情况，建立入河排污口台账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实施动态更新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精准推进入河排污口整治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依法取缔集中式饮用水水源保护区、自然保护地等违法排污口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推进生活污水散排口、养殖尾水、工矿企业排污口清理合并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严格入河排污口审批，持续开展乌江入河排污口长效监测，建立责任明晰、管理规范的长效监督机制。</w:t>
      </w:r>
    </w:p>
    <w:p>
      <w:pPr>
        <w:pStyle w:val="156"/>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rPr>
      </w:pPr>
      <w:bookmarkStart w:id="25" w:name="_Toc135907468"/>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持续改善土壤和地下水环境质量</w:t>
      </w:r>
      <w:bookmarkEnd w:id="25"/>
      <w:r>
        <w:rPr>
          <w:rFonts w:hint="eastAsia" w:ascii="仿宋_GB2312" w:hAnsi="仿宋_GB2312" w:eastAsia="仿宋_GB2312" w:cs="仿宋_GB2312"/>
          <w:b w:val="0"/>
          <w:bCs w:val="0"/>
          <w:sz w:val="32"/>
          <w:szCs w:val="32"/>
        </w:rPr>
        <w:t>。</w:t>
      </w:r>
      <w:bookmarkStart w:id="26" w:name="_Toc21517"/>
      <w:bookmarkStart w:id="27" w:name="_Toc19723"/>
      <w:bookmarkStart w:id="28" w:name="_Toc1539"/>
      <w:bookmarkStart w:id="29" w:name="_Toc18099"/>
      <w:bookmarkStart w:id="30" w:name="_Toc32004"/>
      <w:bookmarkStart w:id="31" w:name="_Toc16162"/>
      <w:bookmarkStart w:id="32" w:name="_Toc28094"/>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强化耕地污染源头管控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建立涉重金属矿区历史遗留固体废物风险管控与治理修复台账，有序推进风险管控及修复治理；实施耕地土壤重金属污染成因排查</w:t>
      </w:r>
      <w:bookmarkEnd w:id="26"/>
      <w:bookmarkEnd w:id="27"/>
      <w:bookmarkEnd w:id="28"/>
      <w:bookmarkEnd w:id="29"/>
      <w:bookmarkEnd w:id="30"/>
      <w:bookmarkEnd w:id="31"/>
      <w:bookmarkEnd w:id="32"/>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防范工矿企业新增土壤污染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严格建设项目土壤环境影响评价制度，土壤污染重点监管单位名录定期动态更新</w:t>
      </w:r>
      <w:bookmarkStart w:id="33" w:name="OLE_LINK18"/>
      <w:r>
        <w:rPr>
          <w:rFonts w:hint="eastAsia" w:ascii="仿宋_GB2312" w:hAnsi="仿宋_GB2312" w:eastAsia="仿宋_GB2312" w:cs="仿宋_GB2312"/>
          <w:b w:val="0"/>
          <w:bCs w:val="0"/>
          <w:sz w:val="32"/>
          <w:szCs w:val="32"/>
        </w:rPr>
        <w:t>。</w:t>
      </w:r>
      <w:bookmarkEnd w:id="33"/>
      <w:r>
        <w:rPr>
          <w:rFonts w:hint="eastAsia" w:ascii="仿宋_GB2312" w:hAnsi="仿宋_GB2312" w:eastAsia="仿宋_GB2312" w:cs="仿宋_GB2312"/>
          <w:b w:val="0"/>
          <w:bCs w:val="0"/>
          <w:sz w:val="32"/>
          <w:szCs w:val="32"/>
        </w:rPr>
        <w:t>巩固提升耕地安全利用水平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明确安全利用类耕地和严格管控类耕地的具体管控措施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严格建设用地准入管理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依法开展土壤污染状况调查和风险评估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从严管控农药、化工等行业中的重度污染地块规划用途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有序推进建设用地风险管控与修复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优化土壤污染风险管控和修复模式，积极探索“环境修复+开发建设”修复模式。</w:t>
      </w:r>
      <w:r>
        <w:rPr>
          <w:rFonts w:hint="eastAsia" w:ascii="仿宋_GB2312" w:hAnsi="仿宋_GB2312" w:eastAsia="仿宋_GB2312" w:cs="仿宋_GB2312"/>
          <w:b w:val="0"/>
          <w:bCs w:val="0"/>
          <w:color w:val="auto"/>
          <w:sz w:val="32"/>
          <w:szCs w:val="32"/>
        </w:rPr>
        <w:t>开展地下水污染状况调查评估和修复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实施“一企一库”“两场两区”地下水污染状况调查评估，探索开展地下水污染修复试点工程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开展地表水和地下水污染协调防治</w:t>
      </w:r>
      <w:r>
        <w:rPr>
          <w:rFonts w:hint="eastAsia" w:ascii="仿宋_GB2312" w:hAnsi="仿宋_GB2312" w:eastAsia="仿宋_GB2312" w:cs="仿宋_GB2312"/>
          <w:b w:val="0"/>
          <w:bCs w:val="0"/>
          <w:color w:val="auto"/>
          <w:sz w:val="32"/>
          <w:szCs w:val="32"/>
          <w:lang w:eastAsia="zh-CN"/>
        </w:rPr>
        <w:t>。</w:t>
      </w:r>
    </w:p>
    <w:p>
      <w:pPr>
        <w:pStyle w:val="156"/>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rPr>
      </w:pPr>
      <w:bookmarkStart w:id="34" w:name="_Toc135907469"/>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完善固体废物综合监管机制</w:t>
      </w:r>
      <w:bookmarkEnd w:id="34"/>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强化工业固体废物源头减量</w:t>
      </w:r>
      <w:r>
        <w:rPr>
          <w:rFonts w:hint="eastAsia" w:ascii="仿宋_GB2312" w:hAnsi="仿宋_GB2312" w:eastAsia="仿宋_GB2312" w:cs="仿宋_GB2312"/>
          <w:b w:val="0"/>
          <w:bCs w:val="0"/>
          <w:sz w:val="32"/>
          <w:szCs w:val="32"/>
          <w:lang w:eastAsia="zh-CN"/>
        </w:rPr>
        <w:t>。</w:t>
      </w:r>
      <w:r>
        <w:rPr>
          <w:b w:val="0"/>
          <w:bCs w:val="0"/>
          <w:color w:val="000000" w:themeColor="text1"/>
          <w:sz w:val="32"/>
          <w:szCs w:val="32"/>
          <w14:textFill>
            <w14:solidFill>
              <w14:schemeClr w14:val="tx1"/>
            </w14:solidFill>
          </w14:textFill>
        </w:rPr>
        <w:t>将“三线一单”作为区域生态环境准入和环境管理的重要依据</w:t>
      </w:r>
      <w:r>
        <w:rPr>
          <w:rFonts w:hint="eastAsia"/>
          <w:b w:val="0"/>
          <w:bCs w:val="0"/>
          <w:color w:val="000000" w:themeColor="text1"/>
          <w:sz w:val="32"/>
          <w:szCs w:val="32"/>
          <w:lang w:eastAsia="zh-CN"/>
          <w14:textFill>
            <w14:solidFill>
              <w14:schemeClr w14:val="tx1"/>
            </w14:solidFill>
          </w14:textFill>
        </w:rPr>
        <w:t>，</w:t>
      </w:r>
      <w:r>
        <w:rPr>
          <w:b w:val="0"/>
          <w:bCs w:val="0"/>
          <w:color w:val="000000" w:themeColor="text1"/>
          <w:sz w:val="32"/>
          <w:szCs w:val="32"/>
          <w14:textFill>
            <w14:solidFill>
              <w14:schemeClr w14:val="tx1"/>
            </w14:solidFill>
          </w14:textFill>
        </w:rPr>
        <w:t>严格高排放项目准入</w:t>
      </w:r>
      <w:r>
        <w:rPr>
          <w:rFonts w:hint="eastAsia"/>
          <w:b w:val="0"/>
          <w:bCs w:val="0"/>
          <w:color w:val="000000" w:themeColor="text1"/>
          <w:sz w:val="32"/>
          <w:szCs w:val="32"/>
          <w:lang w:eastAsia="zh-CN"/>
          <w14:textFill>
            <w14:solidFill>
              <w14:schemeClr w14:val="tx1"/>
            </w14:solidFill>
          </w14:textFill>
        </w:rPr>
        <w:t>；</w:t>
      </w:r>
      <w:bookmarkStart w:id="35" w:name="_Toc91497517"/>
      <w:bookmarkStart w:id="36" w:name="_Toc6569_WPSOffice_Level3"/>
      <w:bookmarkStart w:id="37" w:name="_Toc91497402"/>
      <w:bookmarkStart w:id="38" w:name="_Toc6141"/>
      <w:r>
        <w:rPr>
          <w:rFonts w:hint="eastAsia" w:ascii="仿宋_GB2312" w:hAnsi="仿宋_GB2312" w:eastAsia="仿宋_GB2312" w:cs="仿宋_GB2312"/>
          <w:b w:val="0"/>
          <w:bCs w:val="0"/>
          <w:color w:val="auto"/>
          <w:sz w:val="32"/>
          <w:szCs w:val="32"/>
        </w:rPr>
        <w:t>推进清洁生产审核，促进节能减排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督促满足强制性清洁生产条件的企业，依法依规开展强制性清洁生产，鼓励其他行业自觉自愿开展清洁生产，强化清洁生产审核把关</w:t>
      </w:r>
      <w:bookmarkEnd w:id="35"/>
      <w:bookmarkEnd w:id="36"/>
      <w:bookmarkEnd w:id="37"/>
      <w:bookmarkEnd w:id="38"/>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提升清洁生产水平。</w:t>
      </w:r>
      <w:r>
        <w:rPr>
          <w:rFonts w:eastAsia="仿宋_GB2312"/>
          <w:b w:val="0"/>
          <w:bCs w:val="0"/>
          <w:color w:val="000000" w:themeColor="text1"/>
          <w:sz w:val="32"/>
          <w:szCs w:val="32"/>
          <w14:textFill>
            <w14:solidFill>
              <w14:schemeClr w14:val="tx1"/>
            </w14:solidFill>
          </w14:textFill>
        </w:rPr>
        <w:t>强化工业固体废物无害化处置</w:t>
      </w:r>
      <w:r>
        <w:rPr>
          <w:rFonts w:hint="eastAsia"/>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auto"/>
          <w:sz w:val="32"/>
          <w:szCs w:val="32"/>
        </w:rPr>
        <w:t>加快工业固体废物处理处置进度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依法依规合理规划布局工业固体废物贮存处置场所，保障工业固体废物处置设施用地，加快集中处置设施建设，补足处置能力缺口；</w:t>
      </w:r>
      <w:r>
        <w:rPr>
          <w:rFonts w:hint="eastAsia" w:ascii="仿宋_GB2312" w:hAnsi="仿宋_GB2312" w:eastAsia="仿宋_GB2312" w:cs="仿宋_GB2312"/>
          <w:b w:val="0"/>
          <w:bCs w:val="0"/>
          <w:color w:val="auto"/>
          <w:sz w:val="32"/>
          <w:szCs w:val="32"/>
        </w:rPr>
        <w:t>探索区域组团式固体废物处置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探索建立协同处置机制、资源互助共享机制和应急处置机制，推广水泥窑协同处置工业固体废物</w:t>
      </w:r>
      <w:bookmarkStart w:id="39" w:name="_Toc91497413"/>
      <w:bookmarkStart w:id="40" w:name="_Toc4007"/>
      <w:bookmarkStart w:id="41" w:name="_Toc91497528"/>
      <w:bookmarkStart w:id="42" w:name="_Toc23298_WPSOffice_Level3"/>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开展大宗工业固体废物堆存场所综合整治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推进问题渣场（含尾矿库）的治理与修复。</w:t>
      </w:r>
      <w:bookmarkEnd w:id="39"/>
      <w:bookmarkEnd w:id="40"/>
      <w:bookmarkEnd w:id="41"/>
      <w:bookmarkEnd w:id="42"/>
      <w:r>
        <w:rPr>
          <w:rFonts w:hint="eastAsia" w:ascii="仿宋_GB2312" w:hAnsi="仿宋_GB2312" w:eastAsia="仿宋_GB2312" w:cs="仿宋_GB2312"/>
          <w:b w:val="0"/>
          <w:bCs w:val="0"/>
          <w:color w:val="auto"/>
          <w:sz w:val="32"/>
          <w:szCs w:val="32"/>
        </w:rPr>
        <w:t>规范建筑垃圾处理全过程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强化排放管理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规范运输管理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实施建筑垃圾资源化利用项目，推动形成具有山地特色的建筑垃圾利用模式。</w:t>
      </w:r>
    </w:p>
    <w:p>
      <w:pPr>
        <w:pStyle w:val="156"/>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rPr>
      </w:pPr>
      <w:bookmarkStart w:id="43" w:name="_Toc135907470"/>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严格生态环境风险防范</w:t>
      </w:r>
      <w:bookmarkEnd w:id="43"/>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严格控制涉重金属行业企业污染物排放，实施涉重金属行业企业全口径清单动态更新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水、土壤、固废生态环境风险防控能力建设，推进覆盖重点区域、重点风险源及突发环境事件应急等方面的预警能力建设；完善区域应急联动响应机制，加强重点领域区域环境风险预警，完善水源地应急管理。加强基层环境应急救援能力建设，充实基层应急物资储备力量，建立应急物资智慧化管理系统，动态规范管理环境应急物资信息，完善环境应急物资信息管理制度，提高应急处置救援效率。</w:t>
      </w:r>
      <w:r>
        <w:rPr>
          <w:rFonts w:hint="eastAsia" w:ascii="仿宋_GB2312" w:hAnsi="仿宋_GB2312" w:eastAsia="仿宋_GB2312" w:cs="仿宋_GB2312"/>
          <w:b w:val="0"/>
          <w:bCs w:val="0"/>
          <w:color w:val="auto"/>
          <w:sz w:val="32"/>
          <w:szCs w:val="32"/>
        </w:rPr>
        <w:t>强化城市噪声污染防治力度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加强交通噪声、建筑施工噪声、营业性娱乐场所噪声污染防治，严格噪声污染源头控制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完善核辐射环境风险防控机制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健全辐射</w:t>
      </w:r>
      <w:r>
        <w:rPr>
          <w:rFonts w:hint="eastAsia" w:ascii="仿宋_GB2312" w:hAnsi="仿宋_GB2312" w:eastAsia="仿宋_GB2312" w:cs="仿宋_GB2312"/>
          <w:b w:val="0"/>
          <w:bCs w:val="0"/>
          <w:sz w:val="32"/>
          <w:szCs w:val="32"/>
          <w:lang w:val="en-US" w:eastAsia="zh-CN"/>
        </w:rPr>
        <w:t>环境管理及</w:t>
      </w:r>
      <w:r>
        <w:rPr>
          <w:rFonts w:hint="eastAsia" w:ascii="仿宋_GB2312" w:hAnsi="仿宋_GB2312" w:eastAsia="仿宋_GB2312" w:cs="仿宋_GB2312"/>
          <w:b w:val="0"/>
          <w:bCs w:val="0"/>
          <w:sz w:val="32"/>
          <w:szCs w:val="32"/>
        </w:rPr>
        <w:t>监测体系，完善核辐射环境风险防控机制。</w:t>
      </w:r>
    </w:p>
    <w:p>
      <w:pPr>
        <w:pStyle w:val="156"/>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rPr>
      </w:pPr>
      <w:bookmarkStart w:id="44" w:name="_Toc135907471"/>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加</w:t>
      </w:r>
      <w:r>
        <w:rPr>
          <w:rFonts w:hint="eastAsia" w:ascii="仿宋_GB2312" w:hAnsi="仿宋_GB2312" w:eastAsia="仿宋_GB2312" w:cs="仿宋_GB2312"/>
          <w:b w:val="0"/>
          <w:bCs w:val="0"/>
          <w:sz w:val="32"/>
          <w:szCs w:val="32"/>
          <w:lang w:val="en-US" w:eastAsia="zh-CN"/>
        </w:rPr>
        <w:t>大</w:t>
      </w:r>
      <w:r>
        <w:rPr>
          <w:rFonts w:hint="eastAsia" w:ascii="仿宋_GB2312" w:hAnsi="仿宋_GB2312" w:eastAsia="仿宋_GB2312" w:cs="仿宋_GB2312"/>
          <w:b w:val="0"/>
          <w:bCs w:val="0"/>
          <w:sz w:val="32"/>
          <w:szCs w:val="32"/>
        </w:rPr>
        <w:t>生物多样性保护力度</w:t>
      </w:r>
      <w:bookmarkEnd w:id="44"/>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落实长江流域重点水域“十年禁渔”。统筹推进陆生、水生生物养护、珍稀濒危物种救护、栖息地恢复发展、疫源疫病监测等工作。开展野生动植物资源普查和动态监测，实施野生动植物重要栖息地保护修复；健全生物入侵防范机制，强化外来物种管控。加强林业有害生物防治体系建设，提升生态系统稳定性。建立健全生物全方位监测监管体系与生物多样性保护体制机制，强化生物安全监测评估与监督管理，全面提高生物安全保障能力。</w:t>
      </w:r>
    </w:p>
    <w:p>
      <w:pPr>
        <w:spacing w:beforeLines="0" w:afterLines="0" w:line="600" w:lineRule="exact"/>
        <w:ind w:firstLine="640" w:firstLineChars="200"/>
        <w:jc w:val="both"/>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（三）严格生态空间管控，优化生态安全格局</w:t>
      </w:r>
    </w:p>
    <w:p>
      <w:pPr>
        <w:pStyle w:val="156"/>
        <w:spacing w:line="600" w:lineRule="exact"/>
        <w:ind w:firstLine="640" w:firstLineChars="200"/>
        <w:outlineLvl w:val="9"/>
        <w:rPr>
          <w:rFonts w:hint="eastAsia" w:ascii="仿宋_GB2312" w:hAnsi="仿宋_GB2312" w:eastAsia="仿宋_GB2312" w:cs="仿宋_GB2312"/>
          <w:b w:val="0"/>
          <w:bCs w:val="0"/>
          <w:sz w:val="32"/>
          <w:szCs w:val="32"/>
        </w:rPr>
      </w:pPr>
      <w:bookmarkStart w:id="45" w:name="_Toc135907473"/>
      <w:r>
        <w:rPr>
          <w:rFonts w:hint="eastAsia" w:ascii="仿宋_GB2312" w:hAnsi="仿宋_GB2312" w:eastAsia="仿宋_GB2312" w:cs="仿宋_GB2312"/>
          <w:b w:val="0"/>
          <w:bCs w:val="0"/>
          <w:sz w:val="32"/>
          <w:szCs w:val="32"/>
        </w:rPr>
        <w:t>1.构建区域生态安全格局</w:t>
      </w:r>
      <w:bookmarkEnd w:id="45"/>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统筹发展与安全，兼顾生态功能和健康福祉，以水土保持、水源涵养、碳汇能力提升、生物多样性保护为目标，构建“一带四廊、八河千园”的生态安全格局。</w:t>
      </w:r>
      <w:r>
        <w:rPr>
          <w:rFonts w:hint="eastAsia" w:ascii="仿宋_GB2312" w:hAnsi="仿宋_GB2312" w:eastAsia="仿宋_GB2312" w:cs="仿宋_GB2312"/>
          <w:b w:val="0"/>
          <w:bCs w:val="0"/>
          <w:color w:val="auto"/>
          <w:sz w:val="32"/>
          <w:szCs w:val="32"/>
        </w:rPr>
        <w:t>重点加强乌江生态景观带保护与水源涵养能力</w:t>
      </w:r>
      <w:r>
        <w:rPr>
          <w:rFonts w:hint="eastAsia" w:ascii="仿宋_GB2312" w:hAnsi="仿宋_GB2312" w:eastAsia="仿宋_GB2312" w:cs="仿宋_GB2312"/>
          <w:b w:val="0"/>
          <w:bCs w:val="0"/>
          <w:sz w:val="32"/>
          <w:szCs w:val="32"/>
        </w:rPr>
        <w:t>，加强生态廊道和重要城市公园等生态节点建设，打通物种迁徙通道，提升城市生态系统服务能力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落实“53111”生态保护监测体系。加强典型生态系统和重要生态空间监测网络建设，健全天地空一体化、网格化与信息化三化合一的生态监管体系。持续开展“绿盾”自然保护地强化监督专项行动，规范自然保护地生态破坏问题台账管理，探索建立“发现问题-核实会商-移交查处-督促整改”的生态破坏问题监管机制，提升自然保护地生态环境监管能力。按照“一站多点（样地、样区）”的布局模式，逐步开展生态监测地面站点建设。将“三线一单”确定的优先保护单元、重点管控单元作为环境监管重点区域，推进生态环境监管精细化、规范化、智能化。定期开展生态保护红线</w:t>
      </w:r>
      <w:r>
        <w:rPr>
          <w:rFonts w:hint="eastAsia" w:ascii="仿宋_GB2312" w:hAnsi="仿宋_GB2312" w:eastAsia="仿宋_GB2312" w:cs="仿宋_GB2312"/>
          <w:b w:val="0"/>
          <w:bCs w:val="0"/>
          <w:sz w:val="32"/>
          <w:szCs w:val="32"/>
          <w:lang w:val="en-US" w:eastAsia="zh-CN"/>
        </w:rPr>
        <w:t>内</w:t>
      </w:r>
      <w:r>
        <w:rPr>
          <w:rFonts w:hint="eastAsia" w:ascii="仿宋_GB2312" w:hAnsi="仿宋_GB2312" w:eastAsia="仿宋_GB2312" w:cs="仿宋_GB2312"/>
          <w:b w:val="0"/>
          <w:bCs w:val="0"/>
          <w:sz w:val="32"/>
          <w:szCs w:val="32"/>
        </w:rPr>
        <w:t>人类活动与重要生态系统遥感监测与生态质量评估。</w:t>
      </w:r>
    </w:p>
    <w:p>
      <w:pPr>
        <w:pStyle w:val="156"/>
        <w:numPr>
          <w:ilvl w:val="-1"/>
          <w:numId w:val="0"/>
        </w:numPr>
        <w:spacing w:line="600" w:lineRule="exact"/>
        <w:ind w:left="720" w:firstLine="0"/>
        <w:outlineLvl w:val="9"/>
        <w:rPr>
          <w:rFonts w:hint="eastAsia" w:ascii="仿宋_GB2312" w:hAnsi="仿宋_GB2312" w:eastAsia="仿宋_GB2312" w:cs="仿宋_GB2312"/>
          <w:b w:val="0"/>
          <w:bCs w:val="0"/>
          <w:sz w:val="32"/>
          <w:szCs w:val="32"/>
        </w:rPr>
      </w:pPr>
      <w:bookmarkStart w:id="46" w:name="_Toc135907474"/>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落实自然生态空间用途管制</w:t>
      </w:r>
      <w:bookmarkEnd w:id="46"/>
    </w:p>
    <w:p>
      <w:pPr>
        <w:spacing w:beforeLines="0" w:afterLines="0"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严格“三区三线”保护格局，严</w:t>
      </w:r>
      <w:r>
        <w:rPr>
          <w:rFonts w:hint="eastAsia" w:ascii="仿宋_GB2312" w:hAnsi="仿宋_GB2312" w:eastAsia="仿宋_GB2312" w:cs="仿宋_GB2312"/>
          <w:b w:val="0"/>
          <w:bCs w:val="0"/>
          <w:sz w:val="32"/>
          <w:szCs w:val="32"/>
          <w:lang w:val="en-US" w:eastAsia="zh-CN"/>
        </w:rPr>
        <w:t>守</w:t>
      </w:r>
      <w:r>
        <w:rPr>
          <w:rFonts w:hint="eastAsia" w:ascii="仿宋_GB2312" w:hAnsi="仿宋_GB2312" w:eastAsia="仿宋_GB2312" w:cs="仿宋_GB2312"/>
          <w:b w:val="0"/>
          <w:bCs w:val="0"/>
          <w:sz w:val="32"/>
          <w:szCs w:val="32"/>
        </w:rPr>
        <w:t>生态保护红线、永久基本农田、城镇开发边界等空间管制控制线，实施常态化国土空间动态监测评估预警和监管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严格生态保护红线空间监管，建设生态保护红线监管平台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建立生态保护红线内人为活动有限准入监督正面清单，推进生态保护红线勘界定标。</w:t>
      </w:r>
      <w:r>
        <w:rPr>
          <w:rFonts w:hint="eastAsia" w:ascii="仿宋_GB2312" w:hAnsi="仿宋_GB2312" w:eastAsia="仿宋_GB2312" w:cs="仿宋_GB2312"/>
          <w:b w:val="0"/>
          <w:bCs w:val="0"/>
          <w:color w:val="000000" w:themeColor="text1"/>
          <w:sz w:val="32"/>
          <w:szCs w:val="32"/>
          <w14:textFill>
            <w14:solidFill>
              <w14:schemeClr w14:val="tx1"/>
            </w14:solidFill>
          </w14:textFill>
        </w:rPr>
        <w:t>严格</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生态</w:t>
      </w:r>
      <w:r>
        <w:rPr>
          <w:rFonts w:hint="eastAsia" w:ascii="仿宋_GB2312" w:hAnsi="仿宋_GB2312" w:eastAsia="仿宋_GB2312" w:cs="仿宋_GB2312"/>
          <w:b w:val="0"/>
          <w:bCs w:val="0"/>
          <w:color w:val="000000" w:themeColor="text1"/>
          <w:sz w:val="32"/>
          <w:szCs w:val="32"/>
          <w14:textFill>
            <w14:solidFill>
              <w14:schemeClr w14:val="tx1"/>
            </w14:solidFill>
          </w14:textFill>
        </w:rPr>
        <w:t>环境</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控制单元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z w:val="32"/>
          <w:szCs w:val="32"/>
        </w:rPr>
        <w:t>推动“三线一单”硬约束落地，统筹生态保护与经济高质量发展，确保发展不超载、底线不突破。</w:t>
      </w:r>
      <w:r>
        <w:rPr>
          <w:rFonts w:hint="eastAsia" w:ascii="仿宋_GB2312" w:hAnsi="仿宋_GB2312" w:eastAsia="仿宋_GB2312" w:cs="仿宋_GB2312"/>
          <w:b w:val="0"/>
          <w:bCs w:val="0"/>
          <w:color w:val="000000" w:themeColor="text1"/>
          <w:sz w:val="32"/>
          <w:szCs w:val="32"/>
          <w14:textFill>
            <w14:solidFill>
              <w14:schemeClr w14:val="tx1"/>
            </w14:solidFill>
          </w14:textFill>
        </w:rPr>
        <w:t>实施差异化的国土空间开发保护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构建主体功能明显、优势互补、高质量发展的国土空间开发保护新格局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加快区域主导产业升级改造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提升</w:t>
      </w:r>
      <w:r>
        <w:rPr>
          <w:rFonts w:hint="eastAsia" w:ascii="仿宋_GB2312" w:hAnsi="仿宋_GB2312" w:eastAsia="仿宋_GB2312" w:cs="仿宋_GB2312"/>
          <w:b w:val="0"/>
          <w:bCs w:val="0"/>
          <w:color w:val="000000" w:themeColor="text1"/>
          <w:sz w:val="32"/>
          <w:szCs w:val="32"/>
          <w14:textFill>
            <w14:solidFill>
              <w14:schemeClr w14:val="tx1"/>
            </w14:solidFill>
          </w14:textFill>
        </w:rPr>
        <w:t>生态系统完整性和可持续性。</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推进河湖岸线保护与可持续利用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推进“一河一策”“一湖一策”落地实施，完成河湖管理范围划界，</w:t>
      </w:r>
      <w:r>
        <w:rPr>
          <w:rFonts w:hint="eastAsia" w:ascii="仿宋_GB2312" w:hAnsi="仿宋_GB2312" w:eastAsia="仿宋_GB2312" w:cs="仿宋_GB2312"/>
          <w:b w:val="0"/>
          <w:bCs w:val="0"/>
          <w:color w:val="000000" w:themeColor="text1"/>
          <w:sz w:val="32"/>
          <w:szCs w:val="32"/>
          <w14:textFill>
            <w14:solidFill>
              <w14:schemeClr w14:val="tx1"/>
            </w14:solidFill>
          </w14:textFill>
        </w:rPr>
        <w:t>完善与更新“一河一档”和执法台账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合理退还</w:t>
      </w:r>
      <w:r>
        <w:rPr>
          <w:rFonts w:hint="eastAsia" w:ascii="仿宋_GB2312" w:hAnsi="仿宋_GB2312" w:eastAsia="仿宋_GB2312" w:cs="仿宋_GB2312"/>
          <w:b w:val="0"/>
          <w:bCs w:val="0"/>
          <w:sz w:val="32"/>
          <w:szCs w:val="32"/>
        </w:rPr>
        <w:t>河湖岸线生态空间，明确重点河流资源保护与可持续开发利用强度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构建河湖健康评价体系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健全河湖岸线管控机制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实现河湖管理范围与国土“一张图”数据共享，强化河湖水域、岸线动态监测，推进智慧河湖、美丽河湖建设。</w:t>
      </w:r>
    </w:p>
    <w:p>
      <w:pPr>
        <w:pStyle w:val="156"/>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rPr>
      </w:pPr>
      <w:bookmarkStart w:id="47" w:name="_Toc135907475"/>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强化重要生态空间保护修复</w:t>
      </w:r>
      <w:bookmarkEnd w:id="47"/>
    </w:p>
    <w:p>
      <w:pPr>
        <w:spacing w:beforeLines="0" w:afterLines="0"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扎实推进自然保护地整合优化，完成全市自然保护地勘界立标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明晰各自然保护地边界设置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推进规范化管理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提高自然保护地管理水平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加强生物物种和栖息地保护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建立生态监测预警体系、濒危物种观测站和物种保藏基因库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加强森林、草地、湿地等重要物种栖息地生态定位监测站（点）建设，围绕重点生态工程建立地面与遥感监测相结合的监测系统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优化提升中心城区功能品质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强化山水城市特色，加强城市生态建设，形成绿色生态网络。合理布局山水生态廊道和生态缓冲带，建设生态景观廊道相贯通的城市生态网络体系，形成“一河、百山、千园”的城市绿地系统。</w:t>
      </w:r>
    </w:p>
    <w:p>
      <w:pPr>
        <w:pStyle w:val="156"/>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rPr>
      </w:pPr>
      <w:bookmarkStart w:id="48" w:name="_Toc135907476"/>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推进生态系统修复与治理</w:t>
      </w:r>
      <w:bookmarkEnd w:id="48"/>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科学开展国土绿化行动，打造环城景观林带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落实森林管护资金补助和森林生态效益补偿政策，推进</w:t>
      </w:r>
      <w:r>
        <w:rPr>
          <w:rFonts w:hint="eastAsia" w:ascii="仿宋_GB2312" w:hAnsi="仿宋_GB2312" w:eastAsia="仿宋_GB2312" w:cs="仿宋_GB2312"/>
          <w:b w:val="0"/>
          <w:bCs w:val="0"/>
          <w:color w:val="auto"/>
          <w:sz w:val="32"/>
          <w:szCs w:val="32"/>
        </w:rPr>
        <w:t>森林网格化管理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持续推进林地保护与修复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加快低产低效林改造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有效防范林业有害生物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加强水</w:t>
      </w:r>
      <w:r>
        <w:rPr>
          <w:rFonts w:hint="eastAsia" w:ascii="仿宋_GB2312" w:hAnsi="仿宋_GB2312" w:eastAsia="仿宋_GB2312" w:cs="仿宋_GB2312"/>
          <w:b w:val="0"/>
          <w:bCs w:val="0"/>
          <w:color w:val="auto"/>
          <w:sz w:val="32"/>
          <w:szCs w:val="32"/>
          <w:lang w:val="en-US"/>
        </w:rPr>
        <w:t>土流失治理</w:t>
      </w:r>
      <w:r>
        <w:rPr>
          <w:rFonts w:hint="eastAsia" w:ascii="仿宋_GB2312" w:hAnsi="仿宋_GB2312" w:eastAsia="仿宋_GB2312" w:cs="仿宋_GB2312"/>
          <w:b w:val="0"/>
          <w:bCs w:val="0"/>
          <w:color w:val="auto"/>
          <w:sz w:val="32"/>
          <w:szCs w:val="32"/>
        </w:rPr>
        <w:t>与修复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对</w:t>
      </w:r>
      <w:r>
        <w:rPr>
          <w:rFonts w:hint="eastAsia" w:ascii="仿宋_GB2312" w:hAnsi="仿宋_GB2312" w:eastAsia="仿宋_GB2312" w:cs="仿宋_GB2312"/>
          <w:b w:val="0"/>
          <w:bCs w:val="0"/>
          <w:color w:val="auto"/>
          <w:sz w:val="32"/>
          <w:szCs w:val="32"/>
        </w:rPr>
        <w:t>水土流失较为严重区域开展治理，实施坡面蓄、排、引、灌等水系工程建设和田间道路建设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科学封山育林育草和造林种草</w:t>
      </w:r>
      <w:r>
        <w:rPr>
          <w:rFonts w:hint="eastAsia" w:ascii="仿宋_GB2312" w:hAnsi="仿宋_GB2312" w:eastAsia="仿宋_GB2312" w:cs="仿宋_GB2312"/>
          <w:b w:val="0"/>
          <w:bCs w:val="0"/>
          <w:color w:val="auto"/>
          <w:sz w:val="32"/>
          <w:szCs w:val="32"/>
          <w:lang w:eastAsia="zh-CN"/>
        </w:rPr>
        <w:t>。</w:t>
      </w:r>
      <w:r>
        <w:rPr>
          <w:b w:val="0"/>
          <w:bCs w:val="0"/>
          <w:color w:val="000000" w:themeColor="text1"/>
          <w:sz w:val="32"/>
          <w:szCs w:val="32"/>
          <w14:textFill>
            <w14:solidFill>
              <w14:schemeClr w14:val="tx1"/>
            </w14:solidFill>
          </w14:textFill>
        </w:rPr>
        <w:t>推进矿山生态环境修复治理</w:t>
      </w:r>
      <w:r>
        <w:rPr>
          <w:rFonts w:hint="eastAsia"/>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统筹推进矿区山水林田湖草系统修复和综合治理，提升矿区生态环境承载力和生态系统稳定性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不断</w:t>
      </w:r>
      <w:r>
        <w:rPr>
          <w:rFonts w:hint="eastAsia" w:ascii="仿宋_GB2312" w:hAnsi="仿宋_GB2312" w:eastAsia="仿宋_GB2312" w:cs="仿宋_GB2312"/>
          <w:b w:val="0"/>
          <w:bCs w:val="0"/>
          <w:sz w:val="32"/>
          <w:szCs w:val="32"/>
          <w:lang w:val="en-US" w:eastAsia="zh-CN"/>
        </w:rPr>
        <w:t>优化村庄布局</w:t>
      </w:r>
      <w:r>
        <w:rPr>
          <w:rFonts w:hint="eastAsia" w:ascii="仿宋_GB2312" w:hAnsi="仿宋_GB2312" w:eastAsia="仿宋_GB2312" w:cs="仿宋_GB2312"/>
          <w:b w:val="0"/>
          <w:bCs w:val="0"/>
          <w:sz w:val="32"/>
          <w:szCs w:val="32"/>
        </w:rPr>
        <w:t>、合理规划产业用地，打造矿山生态环境治理修复与土地综合治理结合的省级样板区。</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color w:val="auto"/>
          <w:sz w:val="32"/>
          <w:szCs w:val="32"/>
        </w:rPr>
        <w:t>湿地保护与修复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继续探索湿地保护小区和小微湿地试点建设，建立湿地动态监测数据库，推动湿地</w:t>
      </w:r>
      <w:r>
        <w:rPr>
          <w:rFonts w:hint="eastAsia" w:ascii="仿宋_GB2312" w:hAnsi="仿宋_GB2312" w:eastAsia="仿宋_GB2312" w:cs="仿宋_GB2312"/>
          <w:b w:val="0"/>
          <w:bCs w:val="0"/>
          <w:sz w:val="32"/>
          <w:szCs w:val="32"/>
          <w:lang w:val="en-US" w:eastAsia="zh-CN"/>
        </w:rPr>
        <w:t>保护修复与</w:t>
      </w:r>
      <w:r>
        <w:rPr>
          <w:rFonts w:hint="eastAsia" w:ascii="仿宋_GB2312" w:hAnsi="仿宋_GB2312" w:eastAsia="仿宋_GB2312" w:cs="仿宋_GB2312"/>
          <w:b w:val="0"/>
          <w:bCs w:val="0"/>
          <w:color w:val="auto"/>
          <w:sz w:val="32"/>
          <w:szCs w:val="32"/>
        </w:rPr>
        <w:t>可持续利用，建立类型多样、结构完善、功能完备的自然湿地生态系统。针对重要区域和受损湿地实施有期限、封闭性保护，促进湿地景观和生态功能逐步恢复。</w:t>
      </w:r>
    </w:p>
    <w:p>
      <w:pPr>
        <w:spacing w:beforeLines="0" w:afterLines="0" w:line="600" w:lineRule="exact"/>
        <w:ind w:firstLine="640" w:firstLineChars="200"/>
        <w:jc w:val="both"/>
        <w:outlineLvl w:val="1"/>
        <w:rPr>
          <w:rFonts w:hint="eastAsia" w:ascii="楷体_GB2312" w:hAnsi="楷体_GB2312" w:eastAsia="楷体_GB2312" w:cs="楷体_GB2312"/>
          <w:b w:val="0"/>
          <w:bCs w:val="0"/>
          <w:sz w:val="32"/>
          <w:szCs w:val="32"/>
        </w:rPr>
      </w:pPr>
      <w:bookmarkStart w:id="49" w:name="_Toc135907477"/>
      <w:r>
        <w:rPr>
          <w:rFonts w:hint="eastAsia" w:ascii="楷体_GB2312" w:hAnsi="楷体_GB2312" w:eastAsia="楷体_GB2312" w:cs="楷体_GB2312"/>
          <w:b w:val="0"/>
          <w:bCs w:val="0"/>
          <w:sz w:val="32"/>
          <w:szCs w:val="32"/>
        </w:rPr>
        <w:t>（四）发展低碳循环经济，打造绿色金字招牌</w:t>
      </w:r>
      <w:bookmarkEnd w:id="49"/>
    </w:p>
    <w:p>
      <w:pPr>
        <w:pStyle w:val="156"/>
        <w:spacing w:line="600" w:lineRule="exact"/>
        <w:ind w:firstLine="640" w:firstLineChars="200"/>
        <w:outlineLvl w:val="9"/>
        <w:rPr>
          <w:rFonts w:hint="eastAsia" w:ascii="仿宋_GB2312" w:hAnsi="仿宋_GB2312" w:eastAsia="仿宋_GB2312" w:cs="仿宋_GB2312"/>
          <w:b w:val="0"/>
          <w:bCs w:val="0"/>
          <w:sz w:val="32"/>
          <w:szCs w:val="32"/>
        </w:rPr>
      </w:pPr>
      <w:bookmarkStart w:id="50" w:name="_Toc135907478"/>
      <w:bookmarkStart w:id="51" w:name="OLE_LINK4"/>
      <w:r>
        <w:rPr>
          <w:rFonts w:hint="eastAsia" w:ascii="仿宋_GB2312" w:hAnsi="仿宋_GB2312" w:eastAsia="仿宋_GB2312" w:cs="仿宋_GB2312"/>
          <w:b w:val="0"/>
          <w:bCs w:val="0"/>
          <w:sz w:val="32"/>
          <w:szCs w:val="32"/>
        </w:rPr>
        <w:t>1.做优做强生态产业</w:t>
      </w:r>
      <w:bookmarkEnd w:id="50"/>
      <w:bookmarkEnd w:id="51"/>
      <w:bookmarkStart w:id="52" w:name="_Toc134773724"/>
      <w:bookmarkStart w:id="53" w:name="_Toc134091432"/>
      <w:bookmarkStart w:id="54" w:name="_Toc131409460"/>
      <w:bookmarkStart w:id="55" w:name="_Toc135907479"/>
      <w:bookmarkStart w:id="56" w:name="_Toc130197391"/>
    </w:p>
    <w:p>
      <w:pPr>
        <w:pStyle w:val="156"/>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推进工业绿色升级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加强“两高一低”行业项目准入管理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严格落实贵州省产业政策、污染物排放控制、用水管控、节能审查和环评审批、已饱和产业“减量替代”5大要求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推动磷铝产业转型升级</w:t>
      </w:r>
      <w:r>
        <w:rPr>
          <w:rFonts w:hint="eastAsia" w:ascii="仿宋_GB2312" w:hAnsi="仿宋_GB2312" w:eastAsia="仿宋_GB2312" w:cs="仿宋_GB2312"/>
          <w:b w:val="0"/>
          <w:bCs w:val="0"/>
          <w:sz w:val="32"/>
          <w:szCs w:val="32"/>
          <w:lang w:eastAsia="zh-CN"/>
        </w:rPr>
        <w:t>，</w:t>
      </w:r>
      <w:bookmarkEnd w:id="52"/>
      <w:bookmarkEnd w:id="53"/>
      <w:bookmarkEnd w:id="54"/>
      <w:bookmarkEnd w:id="55"/>
      <w:bookmarkEnd w:id="56"/>
      <w:r>
        <w:rPr>
          <w:rFonts w:hint="eastAsia" w:ascii="仿宋_GB2312" w:hAnsi="仿宋_GB2312" w:eastAsia="仿宋_GB2312" w:cs="仿宋_GB2312"/>
          <w:b w:val="0"/>
          <w:bCs w:val="0"/>
          <w:sz w:val="32"/>
          <w:szCs w:val="32"/>
          <w:lang w:val="en-US" w:eastAsia="zh-CN"/>
        </w:rPr>
        <w:t>推动</w:t>
      </w:r>
      <w:r>
        <w:rPr>
          <w:rFonts w:hint="eastAsia" w:ascii="仿宋_GB2312" w:hAnsi="仿宋_GB2312" w:eastAsia="仿宋_GB2312" w:cs="仿宋_GB2312"/>
          <w:b w:val="0"/>
          <w:bCs w:val="0"/>
          <w:sz w:val="32"/>
          <w:szCs w:val="32"/>
        </w:rPr>
        <w:t>磷化工绿色化、铝及铝加工高端化发展，建成贵阳新能源动力电池及材料研发生产基地，将贵阳打造成西部地区铝精深加工基地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推动重点领域创建绿色工厂，发展绿色制造产品，打造绿色供应链，构建绿色制造体系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深耕数字融合赋能实体经济，实施“万企融合”行动，深化大数据赋能制造业转型升级，以产业数字化助力特色优势产业提质增效。</w:t>
      </w:r>
      <w:bookmarkStart w:id="57" w:name="_Toc131409461"/>
      <w:bookmarkStart w:id="58" w:name="_Toc134773725"/>
      <w:bookmarkStart w:id="59" w:name="_Toc134091433"/>
      <w:bookmarkStart w:id="60" w:name="_Toc130197392"/>
      <w:bookmarkStart w:id="61" w:name="_Toc135907480"/>
    </w:p>
    <w:p>
      <w:pPr>
        <w:pStyle w:val="156"/>
        <w:autoSpaceDE w:val="0"/>
        <w:autoSpaceDN w:val="0"/>
        <w:spacing w:beforeLines="0" w:afterLines="0" w:line="600" w:lineRule="exact"/>
        <w:ind w:firstLine="0" w:firstLineChars="0"/>
        <w:jc w:val="left"/>
        <w:outlineLvl w:val="9"/>
        <w:rPr>
          <w:rFonts w:hint="eastAsia" w:ascii="仿宋_GB2312" w:hAnsi="仿宋_GB2312" w:eastAsia="仿宋" w:cs="仿宋_GB2312"/>
          <w:b w:val="0"/>
          <w:bCs w:val="0"/>
          <w:sz w:val="32"/>
          <w:szCs w:val="32"/>
          <w:lang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培育壮大生态农业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优化农产品加工布局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优化粮食等主导农产品产业布局，形成清镇</w:t>
      </w:r>
      <w:r>
        <w:rPr>
          <w:rFonts w:hint="eastAsia" w:ascii="仿宋_GB2312" w:hAnsi="仿宋_GB2312" w:eastAsia="仿宋_GB2312" w:cs="仿宋_GB2312"/>
          <w:b w:val="0"/>
          <w:bCs w:val="0"/>
          <w:sz w:val="32"/>
          <w:szCs w:val="32"/>
          <w:lang w:val="en-US" w:eastAsia="zh-CN"/>
        </w:rPr>
        <w:t>葡萄</w:t>
      </w:r>
      <w:r>
        <w:rPr>
          <w:rFonts w:hint="eastAsia" w:ascii="仿宋_GB2312" w:hAnsi="仿宋_GB2312" w:eastAsia="仿宋_GB2312" w:cs="仿宋_GB2312"/>
          <w:b w:val="0"/>
          <w:bCs w:val="0"/>
          <w:sz w:val="32"/>
          <w:szCs w:val="32"/>
        </w:rPr>
        <w:t>、修文息烽猕猴桃、开阳修文生猪、清镇息烽生态家禽、高标准设施蔬菜、息烽清镇刺梨、清镇元宝枫、开阳富硒茶等农产品发展布局；以中药材、茶叶等为重点，推行农牧结合和生态种养循环，实施种植业提质增效、养殖业生态发展。</w:t>
      </w:r>
      <w:bookmarkEnd w:id="57"/>
      <w:bookmarkEnd w:id="58"/>
      <w:bookmarkEnd w:id="59"/>
      <w:bookmarkEnd w:id="60"/>
      <w:bookmarkEnd w:id="61"/>
      <w:bookmarkStart w:id="62" w:name="_Toc134773726"/>
      <w:bookmarkStart w:id="63" w:name="_Toc135907481"/>
      <w:bookmarkStart w:id="64" w:name="_Toc131409462"/>
      <w:bookmarkStart w:id="65" w:name="_Toc130197393"/>
      <w:bookmarkStart w:id="66" w:name="_Toc134091434"/>
      <w:r>
        <w:rPr>
          <w:rFonts w:hint="eastAsia" w:ascii="仿宋_GB2312" w:hAnsi="仿宋_GB2312" w:eastAsia="仿宋_GB2312" w:cs="仿宋_GB2312"/>
          <w:b w:val="0"/>
          <w:bCs w:val="0"/>
          <w:color w:val="000000" w:themeColor="text1"/>
          <w:sz w:val="32"/>
          <w:szCs w:val="32"/>
          <w14:textFill>
            <w14:solidFill>
              <w14:schemeClr w14:val="tx1"/>
            </w14:solidFill>
          </w14:textFill>
        </w:rPr>
        <w:t>融合发展服务产业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加快建设国家级贵阳大数据产业发展集聚区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推动森林康旅产业提质升级，</w:t>
      </w:r>
      <w:bookmarkEnd w:id="62"/>
      <w:bookmarkEnd w:id="63"/>
      <w:bookmarkEnd w:id="64"/>
      <w:bookmarkEnd w:id="65"/>
      <w:bookmarkEnd w:id="66"/>
      <w:r>
        <w:rPr>
          <w:rFonts w:hint="eastAsia" w:ascii="仿宋_GB2312" w:hAnsi="仿宋_GB2312" w:eastAsia="仿宋_GB2312" w:cs="仿宋_GB2312"/>
          <w:b w:val="0"/>
          <w:bCs w:val="0"/>
          <w:sz w:val="32"/>
          <w:szCs w:val="32"/>
        </w:rPr>
        <w:t>推动农文旅深度融合发展，</w:t>
      </w:r>
      <w:r>
        <w:rPr>
          <w:rFonts w:hint="eastAsia" w:ascii="仿宋_GB2312" w:hAnsi="仿宋_GB2312" w:eastAsia="仿宋_GB2312" w:cs="仿宋_GB2312"/>
          <w:b w:val="0"/>
          <w:bCs w:val="0"/>
          <w:color w:val="000000" w:themeColor="text1"/>
          <w:sz w:val="32"/>
          <w:szCs w:val="32"/>
          <w14:textFill>
            <w14:solidFill>
              <w14:schemeClr w14:val="tx1"/>
            </w14:solidFill>
          </w14:textFill>
        </w:rPr>
        <w:t>打造农商文旅产业融合集聚区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按照全景式打造、全社会参与、全产业发展、全方位服务、全区域管理的“五全理念”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打造国家全域旅游示范市</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56"/>
        <w:numPr>
          <w:ilvl w:val="0"/>
          <w:numId w:val="4"/>
        </w:numPr>
        <w:spacing w:line="600" w:lineRule="exact"/>
        <w:ind w:firstLine="643"/>
        <w:outlineLvl w:val="9"/>
        <w:rPr>
          <w:rFonts w:hint="eastAsia" w:ascii="仿宋_GB2312" w:hAnsi="仿宋_GB2312" w:eastAsia="仿宋_GB2312" w:cs="仿宋_GB2312"/>
          <w:b w:val="0"/>
          <w:bCs w:val="0"/>
          <w:sz w:val="32"/>
          <w:szCs w:val="32"/>
        </w:rPr>
      </w:pPr>
      <w:bookmarkStart w:id="67" w:name="_Toc135907482"/>
      <w:r>
        <w:rPr>
          <w:rFonts w:hint="eastAsia" w:ascii="仿宋_GB2312" w:hAnsi="仿宋_GB2312" w:eastAsia="仿宋_GB2312" w:cs="仿宋_GB2312"/>
          <w:b w:val="0"/>
          <w:bCs w:val="0"/>
          <w:sz w:val="32"/>
          <w:szCs w:val="32"/>
        </w:rPr>
        <w:t>持续调整能源结构</w:t>
      </w:r>
      <w:bookmarkEnd w:id="67"/>
      <w:bookmarkStart w:id="68" w:name="_Toc130197395"/>
      <w:bookmarkStart w:id="69" w:name="_Toc131409464"/>
      <w:bookmarkStart w:id="70" w:name="_Toc135907483"/>
      <w:bookmarkStart w:id="71" w:name="_Toc134773728"/>
      <w:bookmarkStart w:id="72" w:name="_Toc134091436"/>
    </w:p>
    <w:p>
      <w:pPr>
        <w:spacing w:beforeLines="0" w:afterLines="0"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深化煤炭供给侧结构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性</w:t>
      </w:r>
      <w:r>
        <w:rPr>
          <w:rFonts w:hint="eastAsia" w:ascii="仿宋_GB2312" w:hAnsi="仿宋_GB2312" w:eastAsia="仿宋_GB2312" w:cs="仿宋_GB2312"/>
          <w:b w:val="0"/>
          <w:bCs w:val="0"/>
          <w:color w:val="000000" w:themeColor="text1"/>
          <w:sz w:val="32"/>
          <w:szCs w:val="32"/>
          <w14:textFill>
            <w14:solidFill>
              <w14:schemeClr w14:val="tx1"/>
            </w14:solidFill>
          </w14:textFill>
        </w:rPr>
        <w:t>改革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淘汰落后产能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加快煤炭工业转型升级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构建多元清洁能源体系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因地制宜发展风电、抽水蓄能发电、生物质发电、光伏发电等清洁能源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加快风火光互补、火光互补、风光水互补等多能互补工程建设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提升清洁能源保障能力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积极推动多能互补，建设一批风、光等多能互补的清洁能源基地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因地制宜推行热电联产，园区集中供能模式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减少煤炭用量，实现</w:t>
      </w:r>
      <w:r>
        <w:rPr>
          <w:rFonts w:hint="eastAsia" w:ascii="仿宋_GB2312" w:hAnsi="仿宋_GB2312" w:eastAsia="仿宋_GB2312" w:cs="仿宋_GB2312"/>
          <w:b w:val="0"/>
          <w:bCs w:val="0"/>
          <w:sz w:val="32"/>
          <w:szCs w:val="32"/>
        </w:rPr>
        <w:t>大气污染和二氧化碳排放源头削减</w:t>
      </w:r>
      <w:r>
        <w:rPr>
          <w:rFonts w:hint="eastAsia" w:ascii="仿宋_GB2312" w:hAnsi="仿宋_GB2312" w:eastAsia="仿宋_GB2312" w:cs="仿宋_GB2312"/>
          <w:b w:val="0"/>
          <w:bCs w:val="0"/>
          <w:sz w:val="32"/>
          <w:szCs w:val="32"/>
          <w:lang w:eastAsia="zh-CN"/>
        </w:rPr>
        <w:t>；</w:t>
      </w:r>
      <w:bookmarkEnd w:id="68"/>
      <w:bookmarkEnd w:id="69"/>
      <w:bookmarkEnd w:id="70"/>
      <w:bookmarkEnd w:id="71"/>
      <w:bookmarkEnd w:id="72"/>
      <w:bookmarkStart w:id="73" w:name="_Toc134091439"/>
      <w:bookmarkStart w:id="74" w:name="_Toc135907486"/>
      <w:bookmarkStart w:id="75" w:name="_Toc130197398"/>
      <w:bookmarkStart w:id="76" w:name="_Toc134773731"/>
      <w:bookmarkStart w:id="77" w:name="_Toc131409467"/>
      <w:r>
        <w:rPr>
          <w:rFonts w:hint="eastAsia" w:ascii="仿宋_GB2312" w:hAnsi="仿宋_GB2312" w:eastAsia="仿宋_GB2312" w:cs="仿宋_GB2312"/>
          <w:b w:val="0"/>
          <w:bCs w:val="0"/>
          <w:sz w:val="32"/>
          <w:szCs w:val="32"/>
        </w:rPr>
        <w:t>以电解铝、钢铁、合成氨、水泥行业为重点，</w:t>
      </w:r>
      <w:bookmarkEnd w:id="73"/>
      <w:bookmarkEnd w:id="74"/>
      <w:bookmarkEnd w:id="75"/>
      <w:bookmarkEnd w:id="76"/>
      <w:bookmarkEnd w:id="77"/>
      <w:r>
        <w:rPr>
          <w:rFonts w:hint="eastAsia" w:ascii="仿宋_GB2312" w:hAnsi="仿宋_GB2312" w:eastAsia="仿宋_GB2312" w:cs="仿宋_GB2312"/>
          <w:b w:val="0"/>
          <w:bCs w:val="0"/>
          <w:sz w:val="32"/>
          <w:szCs w:val="32"/>
        </w:rPr>
        <w:t>全面提高能源利用效率；严控煤炭消费总量，</w:t>
      </w:r>
      <w:r>
        <w:rPr>
          <w:rFonts w:hint="eastAsia" w:ascii="仿宋_GB2312" w:hAnsi="仿宋_GB2312" w:eastAsia="仿宋_GB2312" w:cs="仿宋_GB2312"/>
          <w:b w:val="0"/>
          <w:bCs w:val="0"/>
          <w:sz w:val="32"/>
          <w:szCs w:val="32"/>
          <w:lang w:val="en-US" w:eastAsia="zh-CN"/>
        </w:rPr>
        <w:t>优化天然气利用方向，</w:t>
      </w:r>
      <w:r>
        <w:rPr>
          <w:rFonts w:hint="eastAsia" w:ascii="仿宋_GB2312" w:hAnsi="仿宋_GB2312" w:eastAsia="仿宋_GB2312" w:cs="仿宋_GB2312"/>
          <w:b w:val="0"/>
          <w:bCs w:val="0"/>
          <w:sz w:val="32"/>
          <w:szCs w:val="32"/>
        </w:rPr>
        <w:t>持续推进终端用能电气化；推动数据中心绿色化发展，全面提升数据中心能效水平。</w:t>
      </w:r>
    </w:p>
    <w:p>
      <w:pPr>
        <w:pStyle w:val="363"/>
        <w:numPr>
          <w:ilvl w:val="0"/>
          <w:numId w:val="4"/>
        </w:numPr>
        <w:spacing w:line="600" w:lineRule="exact"/>
        <w:ind w:firstLine="643" w:firstLineChars="0"/>
        <w:rPr>
          <w:rFonts w:hint="eastAsia" w:ascii="仿宋_GB2312" w:hAnsi="仿宋_GB2312" w:eastAsia="仿宋_GB2312" w:cs="仿宋_GB2312"/>
          <w:b w:val="0"/>
          <w:bCs w:val="0"/>
          <w:sz w:val="32"/>
          <w:szCs w:val="32"/>
        </w:rPr>
      </w:pPr>
      <w:bookmarkStart w:id="78" w:name="_Toc135907487"/>
      <w:r>
        <w:rPr>
          <w:rFonts w:hint="eastAsia" w:ascii="仿宋_GB2312" w:hAnsi="仿宋_GB2312" w:eastAsia="仿宋_GB2312" w:cs="仿宋_GB2312"/>
          <w:b w:val="0"/>
          <w:bCs w:val="0"/>
          <w:sz w:val="32"/>
          <w:szCs w:val="32"/>
        </w:rPr>
        <w:t>不断优化运输结构</w:t>
      </w:r>
      <w:bookmarkEnd w:id="78"/>
      <w:bookmarkStart w:id="79" w:name="_Toc130197400"/>
      <w:bookmarkStart w:id="80" w:name="_Toc134091441"/>
      <w:bookmarkStart w:id="81" w:name="_Toc134773733"/>
      <w:bookmarkStart w:id="82" w:name="_Toc131409469"/>
      <w:bookmarkStart w:id="83" w:name="_Toc135907488"/>
    </w:p>
    <w:p>
      <w:pPr>
        <w:pStyle w:val="363"/>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color w:val="auto"/>
          <w:sz w:val="32"/>
          <w:szCs w:val="32"/>
        </w:rPr>
        <w:t>优化货物运输结构</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推进物流园区和大型工矿企业运输体系“公转铁”“公转水”，提高铁路、水运在综合运输中的承运比例。</w:t>
      </w:r>
      <w:bookmarkEnd w:id="79"/>
      <w:bookmarkEnd w:id="80"/>
      <w:bookmarkEnd w:id="81"/>
      <w:bookmarkEnd w:id="82"/>
      <w:bookmarkEnd w:id="83"/>
      <w:r>
        <w:rPr>
          <w:rFonts w:hint="eastAsia" w:ascii="仿宋_GB2312" w:hAnsi="仿宋_GB2312" w:eastAsia="仿宋_GB2312" w:cs="仿宋_GB2312"/>
          <w:b w:val="0"/>
          <w:bCs w:val="0"/>
          <w:sz w:val="32"/>
          <w:szCs w:val="32"/>
        </w:rPr>
        <w:t>完善城乡物流网络体系，优化完善新能源城市配送车辆便利通行政策，全面解决“通行难”“停靠难”“装卸难”等问题。</w:t>
      </w:r>
      <w:r>
        <w:rPr>
          <w:rFonts w:hint="eastAsia" w:ascii="仿宋_GB2312" w:hAnsi="仿宋_GB2312" w:eastAsia="仿宋_GB2312" w:cs="仿宋_GB2312"/>
          <w:b w:val="0"/>
          <w:color w:val="000000" w:themeColor="text1"/>
          <w:sz w:val="32"/>
          <w:szCs w:val="32"/>
          <w14:textFill>
            <w14:solidFill>
              <w14:schemeClr w14:val="tx1"/>
            </w14:solidFill>
          </w14:textFill>
        </w:rPr>
        <w:t>全面推动运输工具换代升级</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持续扩大电力、天然气等新能源和清洁能源在交通领域应用，加大纯电动船舶应用，加快船舶岸电受电设施改造，全面实施汽车国六排放标准和非道路移动柴油机械国四排放标准，深入实施清洁柴油机行动，鼓励重型柴油货车更新替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实施汽车排放检验与维护制度。</w:t>
      </w:r>
      <w:r>
        <w:rPr>
          <w:rFonts w:hint="eastAsia" w:ascii="仿宋_GB2312" w:hAnsi="仿宋_GB2312" w:eastAsia="仿宋_GB2312" w:cs="仿宋_GB2312"/>
          <w:b w:val="0"/>
          <w:color w:val="000000" w:themeColor="text1"/>
          <w:sz w:val="32"/>
          <w:szCs w:val="32"/>
          <w14:textFill>
            <w14:solidFill>
              <w14:schemeClr w14:val="tx1"/>
            </w14:solidFill>
          </w14:textFill>
        </w:rPr>
        <w:t>推进绿色物流体系建设</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加快发展绿色物流，形成绿色低碳运输方式，依托铁路物流基地、公路港、内河港口等推进多式联运型和干支衔接型货运枢纽（物流园区）建设，加快推进多式联运发展；发展智能交通，积极运用大数据优化物流运输组织模式；全面推广绿色快递包装，引导电商企业、邮政快递企业优先选购使用获得绿色认证的快递包装产品。</w:t>
      </w:r>
    </w:p>
    <w:p>
      <w:pPr>
        <w:pStyle w:val="156"/>
        <w:numPr>
          <w:ilvl w:val="0"/>
          <w:numId w:val="4"/>
        </w:numPr>
        <w:spacing w:line="600" w:lineRule="exact"/>
        <w:ind w:firstLine="643"/>
        <w:outlineLvl w:val="9"/>
        <w:rPr>
          <w:rFonts w:hint="eastAsia" w:ascii="仿宋_GB2312" w:hAnsi="仿宋_GB2312" w:eastAsia="仿宋_GB2312" w:cs="仿宋_GB2312"/>
          <w:b w:val="0"/>
          <w:bCs w:val="0"/>
          <w:sz w:val="32"/>
          <w:szCs w:val="32"/>
        </w:rPr>
      </w:pPr>
      <w:bookmarkStart w:id="84" w:name="_Toc135907491"/>
      <w:r>
        <w:rPr>
          <w:rFonts w:hint="eastAsia" w:ascii="仿宋_GB2312" w:hAnsi="仿宋_GB2312" w:eastAsia="仿宋_GB2312" w:cs="仿宋_GB2312"/>
          <w:b w:val="0"/>
          <w:bCs w:val="0"/>
          <w:sz w:val="32"/>
          <w:szCs w:val="32"/>
        </w:rPr>
        <w:t>积极应对气候变化</w:t>
      </w:r>
      <w:bookmarkEnd w:id="84"/>
      <w:bookmarkStart w:id="85" w:name="_Toc131409473"/>
      <w:bookmarkStart w:id="86" w:name="_Toc135907492"/>
      <w:bookmarkStart w:id="87" w:name="_Toc134773737"/>
      <w:bookmarkStart w:id="88" w:name="_Toc134091445"/>
      <w:bookmarkStart w:id="89" w:name="_Toc130197404"/>
    </w:p>
    <w:p>
      <w:pPr>
        <w:pStyle w:val="156"/>
        <w:spacing w:line="600" w:lineRule="exact"/>
        <w:ind w:firstLine="640" w:firstLineChars="200"/>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rPr>
        <w:t>全面开展碳达峰行动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立足全市煤炭消费的实情，加大节能降碳工作力度，严控能源消费增量，科学制定重点领域碳达峰路径，科学编制全市碳达峰实施方案</w:t>
      </w:r>
      <w:bookmarkEnd w:id="85"/>
      <w:bookmarkEnd w:id="86"/>
      <w:bookmarkEnd w:id="87"/>
      <w:bookmarkEnd w:id="88"/>
      <w:bookmarkEnd w:id="89"/>
      <w:r>
        <w:rPr>
          <w:rFonts w:hint="eastAsia" w:ascii="仿宋_GB2312" w:hAnsi="仿宋_GB2312" w:eastAsia="仿宋_GB2312" w:cs="仿宋_GB2312"/>
          <w:b w:val="0"/>
          <w:bCs w:val="0"/>
          <w:sz w:val="32"/>
          <w:szCs w:val="32"/>
        </w:rPr>
        <w:t>。</w:t>
      </w:r>
      <w:bookmarkStart w:id="90" w:name="_Toc134773738"/>
      <w:bookmarkStart w:id="91" w:name="_Toc130197405"/>
      <w:bookmarkStart w:id="92" w:name="_Toc131409474"/>
      <w:bookmarkStart w:id="93" w:name="_Toc135907493"/>
      <w:bookmarkStart w:id="94" w:name="_Toc134091446"/>
      <w:r>
        <w:rPr>
          <w:rFonts w:hint="eastAsia" w:ascii="仿宋_GB2312" w:hAnsi="仿宋_GB2312" w:eastAsia="仿宋_GB2312" w:cs="仿宋_GB2312"/>
          <w:b w:val="0"/>
          <w:bCs w:val="0"/>
          <w:color w:val="000000" w:themeColor="text1"/>
          <w:sz w:val="32"/>
          <w:szCs w:val="32"/>
          <w14:textFill>
            <w14:solidFill>
              <w14:schemeClr w14:val="tx1"/>
            </w14:solidFill>
          </w14:textFill>
        </w:rPr>
        <w:t>控制温室气体排放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bookmarkEnd w:id="90"/>
      <w:bookmarkEnd w:id="91"/>
      <w:bookmarkEnd w:id="92"/>
      <w:bookmarkEnd w:id="93"/>
      <w:bookmarkEnd w:id="94"/>
      <w:r>
        <w:rPr>
          <w:rFonts w:hint="eastAsia" w:ascii="仿宋_GB2312" w:hAnsi="仿宋_GB2312" w:eastAsia="仿宋_GB2312" w:cs="仿宋_GB2312"/>
          <w:b w:val="0"/>
          <w:bCs w:val="0"/>
          <w:sz w:val="32"/>
          <w:szCs w:val="32"/>
        </w:rPr>
        <w:t>鼓励企业自主开展末端综合处理，研究催化分解、捕捉回收等末端处理技术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控制农业甲烷与氧化亚氮排放</w:t>
      </w:r>
      <w:r>
        <w:rPr>
          <w:rFonts w:hint="eastAsia" w:ascii="仿宋_GB2312" w:hAnsi="仿宋_GB2312" w:eastAsia="仿宋_GB2312" w:cs="仿宋_GB2312"/>
          <w:b w:val="0"/>
          <w:bCs w:val="0"/>
          <w:sz w:val="32"/>
          <w:szCs w:val="32"/>
        </w:rPr>
        <w:t>，探索合理的农作模式，合理使用土地资源，减少冬季淹水泡田和季节性抛荒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有效降低全年稻田甲烷的排放；引导第三方开展粪污专业化处理，重点发展沼气、生物天然气和农用有机肥，控制生物质厌氧发酵产生的甲烷的逸散排放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先行先试多渠道支持碳排放权交易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推进以森林碳汇、湿地碳汇和岩溶碳汇为主，可再生能源、甲烷利用和余热余能利用为辅的自愿减排交易机制项目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开展应对气候变化</w:t>
      </w:r>
      <w:r>
        <w:rPr>
          <w:rFonts w:hint="eastAsia" w:ascii="仿宋_GB2312" w:hAnsi="仿宋_GB2312" w:eastAsia="仿宋_GB2312" w:cs="仿宋_GB2312"/>
          <w:b w:val="0"/>
          <w:bCs w:val="0"/>
          <w:color w:val="auto"/>
          <w:sz w:val="32"/>
          <w:szCs w:val="32"/>
        </w:rPr>
        <w:t>相关领域</w:t>
      </w:r>
      <w:r>
        <w:rPr>
          <w:rFonts w:hint="eastAsia" w:ascii="仿宋_GB2312" w:hAnsi="仿宋_GB2312" w:eastAsia="仿宋_GB2312" w:cs="仿宋_GB2312"/>
          <w:b w:val="0"/>
          <w:bCs w:val="0"/>
          <w:sz w:val="32"/>
          <w:szCs w:val="32"/>
        </w:rPr>
        <w:t>科学研究，</w:t>
      </w:r>
      <w:bookmarkStart w:id="95" w:name="_Toc134091447"/>
      <w:bookmarkStart w:id="96" w:name="_Toc134773739"/>
      <w:bookmarkStart w:id="97" w:name="_Toc135907494"/>
      <w:bookmarkStart w:id="98" w:name="_Toc130197406"/>
      <w:bookmarkStart w:id="99" w:name="_Toc131409475"/>
      <w:r>
        <w:rPr>
          <w:rFonts w:hint="eastAsia" w:ascii="仿宋_GB2312" w:hAnsi="仿宋_GB2312" w:eastAsia="仿宋_GB2312" w:cs="仿宋_GB2312"/>
          <w:b w:val="0"/>
          <w:bCs w:val="0"/>
          <w:color w:val="auto"/>
          <w:sz w:val="32"/>
          <w:szCs w:val="32"/>
        </w:rPr>
        <w:t>加强气候变化基础和监测预测研究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提高对气候变化敏感性、脆弱性和预报性的研究水平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加强减污降碳协同管控</w:t>
      </w:r>
      <w:bookmarkEnd w:id="95"/>
      <w:bookmarkEnd w:id="96"/>
      <w:bookmarkEnd w:id="97"/>
      <w:bookmarkEnd w:id="98"/>
      <w:bookmarkEnd w:id="99"/>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在“三线一单”中强化碳排放控制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围绕加强源头防控、突出重点领域协同增效、优化环境治理、开展不同模式的减污降碳协同增效创新。在排污许可工作中融入碳排放管控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将碳排放逐步纳入排污许可证管理，推动排污许可证制度和碳排放报告制度逐步走向融合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实施减污降碳重大工程示范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提升工业产业园区循环化水平，培育打造循环产业园区示范。</w:t>
      </w:r>
      <w:r>
        <w:rPr>
          <w:rFonts w:hint="eastAsia" w:ascii="仿宋_GB2312" w:hAnsi="仿宋_GB2312" w:eastAsia="仿宋_GB2312" w:cs="仿宋_GB2312"/>
          <w:b w:val="0"/>
          <w:bCs w:val="0"/>
          <w:color w:val="auto"/>
          <w:sz w:val="32"/>
          <w:szCs w:val="32"/>
        </w:rPr>
        <w:t>拓宽园区循环化途径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大力推广使用新能源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加快建立园区能源资源环境管理平台和统计监测体系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highlight w:val="none"/>
        </w:rPr>
        <w:t>大力发展生态循环农业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实施循环农业示范行动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打造循环农业示范样板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推进种养循环一体化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完善园区循环农业产业链条，实现资源循环利用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加强工业固体废物综合利用关键技术攻关</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积极推进赤泥制备陶粒、赤泥生产复合材料、赤泥高性能掺合料等赤泥综合利用技术应用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支持综合利用示范企业和示范基地开展工业固体废物绿色、高效、规模化综合利用示范项目建设，发挥带动引领作用。</w:t>
      </w:r>
    </w:p>
    <w:p>
      <w:pPr>
        <w:pStyle w:val="158"/>
        <w:numPr>
          <w:ilvl w:val="0"/>
          <w:numId w:val="5"/>
        </w:numPr>
        <w:spacing w:line="600" w:lineRule="exact"/>
        <w:ind w:firstLine="640" w:firstLineChars="200"/>
        <w:outlineLvl w:val="1"/>
        <w:rPr>
          <w:rFonts w:hint="eastAsia" w:ascii="楷体_GB2312" w:hAnsi="楷体_GB2312" w:eastAsia="楷体_GB2312" w:cs="楷体_GB2312"/>
          <w:b w:val="0"/>
          <w:bCs w:val="0"/>
          <w:sz w:val="32"/>
          <w:szCs w:val="32"/>
        </w:rPr>
      </w:pPr>
      <w:bookmarkStart w:id="100" w:name="_Toc135907496"/>
      <w:r>
        <w:rPr>
          <w:rFonts w:hint="eastAsia" w:ascii="楷体_GB2312" w:hAnsi="楷体_GB2312" w:eastAsia="楷体_GB2312" w:cs="楷体_GB2312"/>
          <w:b w:val="0"/>
          <w:bCs w:val="0"/>
          <w:color w:val="auto"/>
          <w:sz w:val="32"/>
          <w:szCs w:val="32"/>
        </w:rPr>
        <w:t>转型生态生活方式</w:t>
      </w:r>
      <w:r>
        <w:rPr>
          <w:rFonts w:hint="eastAsia" w:ascii="楷体_GB2312" w:hAnsi="楷体_GB2312" w:eastAsia="楷体_GB2312" w:cs="楷体_GB2312"/>
          <w:b w:val="0"/>
          <w:bCs w:val="0"/>
          <w:sz w:val="32"/>
          <w:szCs w:val="32"/>
        </w:rPr>
        <w:t>，推动绿色低碳生活</w:t>
      </w:r>
      <w:bookmarkEnd w:id="22"/>
      <w:bookmarkEnd w:id="100"/>
    </w:p>
    <w:p>
      <w:pPr>
        <w:numPr>
          <w:ilvl w:val="0"/>
          <w:numId w:val="6"/>
        </w:numPr>
        <w:spacing w:beforeLines="0" w:afterLines="0" w:line="600" w:lineRule="exact"/>
        <w:ind w:firstLine="640" w:firstLineChars="200"/>
        <w:rPr>
          <w:rFonts w:hint="eastAsia" w:ascii="仿宋_GB2312" w:hAnsi="仿宋_GB2312" w:eastAsia="仿宋_GB2312" w:cs="仿宋_GB2312"/>
          <w:b w:val="0"/>
          <w:bCs w:val="0"/>
          <w:sz w:val="32"/>
          <w:szCs w:val="32"/>
        </w:rPr>
      </w:pPr>
      <w:bookmarkStart w:id="101" w:name="_Toc135907497"/>
      <w:r>
        <w:rPr>
          <w:rFonts w:hint="eastAsia" w:ascii="仿宋_GB2312" w:hAnsi="仿宋_GB2312" w:eastAsia="仿宋_GB2312" w:cs="仿宋_GB2312"/>
          <w:b w:val="0"/>
          <w:bCs w:val="0"/>
          <w:sz w:val="32"/>
          <w:szCs w:val="32"/>
        </w:rPr>
        <w:t>城镇人居环境提升</w:t>
      </w:r>
      <w:bookmarkEnd w:id="101"/>
    </w:p>
    <w:p>
      <w:pPr>
        <w:pStyle w:val="156"/>
        <w:spacing w:line="600" w:lineRule="exact"/>
        <w:ind w:firstLine="640" w:firstLineChars="200"/>
        <w:outlineLvl w:val="9"/>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开展城市绿化提质增效行动，实施综合公园和社区公园建设，以贵阳本土植物为依托，营造“季季有景，季季有花”景观，打造喀斯特地区石林特色植物多样性城市。</w:t>
      </w:r>
      <w:r>
        <w:rPr>
          <w:rFonts w:hint="eastAsia" w:ascii="仿宋_GB2312" w:hAnsi="仿宋_GB2312" w:eastAsia="仿宋_GB2312" w:cs="仿宋_GB2312"/>
          <w:b w:val="0"/>
          <w:bCs w:val="0"/>
          <w:color w:val="000000" w:themeColor="text1"/>
          <w:sz w:val="32"/>
          <w:szCs w:val="32"/>
          <w14:textFill>
            <w14:solidFill>
              <w14:schemeClr w14:val="tx1"/>
            </w14:solidFill>
          </w14:textFill>
        </w:rPr>
        <w:t>持续推进城镇污水治理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shd w:val="clear" w:color="auto" w:fill="FFFFFF"/>
        </w:rPr>
        <w:t>系统推进城镇污水处理设施高质量建设和运维，完善污水收集管网，加强污水处理能力建设，推行污水、污泥无害化处置和资源化利用。</w:t>
      </w:r>
      <w:r>
        <w:rPr>
          <w:rFonts w:hint="eastAsia" w:ascii="仿宋_GB2312" w:hAnsi="仿宋_GB2312" w:eastAsia="仿宋_GB2312" w:cs="仿宋_GB2312"/>
          <w:b w:val="0"/>
          <w:bCs w:val="0"/>
          <w:color w:val="auto"/>
          <w:sz w:val="32"/>
          <w:szCs w:val="32"/>
          <w:shd w:val="clear" w:color="auto" w:fill="FFFFFF"/>
        </w:rPr>
        <w:t>完善城镇生活垃圾治理体系</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完善城镇生活垃圾“五个环节”全程分类体系</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rPr>
        <w:t>坚持党建引领，构建“保洁员反馈分类信息——网格员上门宣传引导——社区书记精准督导”“两员一书记”联动机制，依托基层治理能力推进生活垃圾分类工作</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建立“四分出小区”机制，</w:t>
      </w:r>
      <w:r>
        <w:rPr>
          <w:rFonts w:hint="eastAsia" w:ascii="仿宋_GB2312" w:hAnsi="仿宋_GB2312" w:eastAsia="仿宋_GB2312" w:cs="仿宋_GB2312"/>
          <w:b w:val="0"/>
          <w:bCs w:val="0"/>
          <w:sz w:val="32"/>
          <w:szCs w:val="32"/>
          <w:shd w:val="clear" w:color="auto" w:fill="FFFFFF"/>
        </w:rPr>
        <w:t>持续打造垃圾分类示范点，</w:t>
      </w:r>
      <w:r>
        <w:rPr>
          <w:rFonts w:hint="eastAsia" w:ascii="仿宋_GB2312" w:hAnsi="仿宋_GB2312" w:eastAsia="仿宋_GB2312" w:cs="仿宋_GB2312"/>
          <w:b w:val="0"/>
          <w:bCs w:val="0"/>
          <w:color w:val="auto"/>
          <w:sz w:val="32"/>
          <w:szCs w:val="32"/>
          <w:shd w:val="clear" w:color="auto" w:fill="FFFFFF"/>
        </w:rPr>
        <w:t>推进源头减量，</w:t>
      </w:r>
      <w:r>
        <w:rPr>
          <w:rFonts w:hint="eastAsia" w:ascii="仿宋_GB2312" w:hAnsi="仿宋_GB2312" w:eastAsia="仿宋_GB2312" w:cs="仿宋_GB2312"/>
          <w:b w:val="0"/>
          <w:bCs w:val="0"/>
          <w:sz w:val="32"/>
          <w:szCs w:val="32"/>
          <w:shd w:val="clear" w:color="auto" w:fill="FFFFFF"/>
        </w:rPr>
        <w:t>最大限度减少垃圾产生</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推动公共机构带头实施“绿色办公”，健全可回收物资源化利用设施，规定一次性塑料制品、快递包装、可回收物回收等方面的绿色环保措施。</w:t>
      </w:r>
      <w:r>
        <w:rPr>
          <w:rFonts w:hint="eastAsia" w:ascii="仿宋_GB2312" w:hAnsi="仿宋_GB2312" w:eastAsia="仿宋_GB2312" w:cs="仿宋_GB2312"/>
          <w:b w:val="0"/>
          <w:bCs w:val="0"/>
          <w:color w:val="auto"/>
          <w:sz w:val="32"/>
          <w:szCs w:val="32"/>
          <w:shd w:val="clear" w:color="auto" w:fill="FFFFFF"/>
        </w:rPr>
        <w:t>保障全市</w:t>
      </w:r>
      <w:r>
        <w:rPr>
          <w:rFonts w:hint="eastAsia" w:ascii="仿宋_GB2312" w:hAnsi="仿宋_GB2312" w:eastAsia="仿宋_GB2312" w:cs="仿宋_GB2312"/>
          <w:b w:val="0"/>
          <w:bCs w:val="0"/>
          <w:color w:val="auto"/>
          <w:sz w:val="32"/>
          <w:szCs w:val="32"/>
          <w:shd w:val="clear" w:color="auto" w:fill="FFFFFF"/>
          <w:lang w:eastAsia="zh-CN"/>
        </w:rPr>
        <w:t>饮用水水源地</w:t>
      </w:r>
      <w:r>
        <w:rPr>
          <w:rFonts w:hint="eastAsia" w:ascii="仿宋_GB2312" w:hAnsi="仿宋_GB2312" w:eastAsia="仿宋_GB2312" w:cs="仿宋_GB2312"/>
          <w:b w:val="0"/>
          <w:bCs w:val="0"/>
          <w:color w:val="auto"/>
          <w:sz w:val="32"/>
          <w:szCs w:val="32"/>
          <w:shd w:val="clear" w:color="auto" w:fill="FFFFFF"/>
        </w:rPr>
        <w:t>水质安全</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提升城市供水保障能力，推进</w:t>
      </w:r>
      <w:r>
        <w:rPr>
          <w:rFonts w:hint="eastAsia" w:ascii="仿宋_GB2312" w:hAnsi="仿宋_GB2312" w:eastAsia="仿宋_GB2312" w:cs="仿宋_GB2312"/>
          <w:b w:val="0"/>
          <w:bCs w:val="0"/>
          <w:sz w:val="32"/>
          <w:szCs w:val="32"/>
          <w:shd w:val="clear" w:color="auto" w:fill="FFFFFF"/>
          <w:lang w:eastAsia="zh-CN"/>
        </w:rPr>
        <w:t>饮用水水源地</w:t>
      </w:r>
      <w:r>
        <w:rPr>
          <w:rFonts w:hint="eastAsia" w:ascii="仿宋_GB2312" w:hAnsi="仿宋_GB2312" w:eastAsia="仿宋_GB2312" w:cs="仿宋_GB2312"/>
          <w:b w:val="0"/>
          <w:bCs w:val="0"/>
          <w:sz w:val="32"/>
          <w:szCs w:val="32"/>
          <w:shd w:val="clear" w:color="auto" w:fill="FFFFFF"/>
        </w:rPr>
        <w:t>综合治理，</w:t>
      </w:r>
      <w:r>
        <w:rPr>
          <w:rFonts w:hint="eastAsia" w:ascii="仿宋_GB2312" w:hAnsi="仿宋_GB2312" w:eastAsia="仿宋_GB2312" w:cs="仿宋_GB2312"/>
          <w:b w:val="0"/>
          <w:bCs w:val="0"/>
          <w:color w:val="auto"/>
          <w:sz w:val="32"/>
          <w:szCs w:val="32"/>
          <w:shd w:val="clear" w:color="auto" w:fill="FFFFFF"/>
        </w:rPr>
        <w:t>加强饮用水水源地环境整治</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提升</w:t>
      </w:r>
      <w:r>
        <w:rPr>
          <w:rFonts w:hint="eastAsia" w:ascii="仿宋_GB2312" w:hAnsi="仿宋_GB2312" w:eastAsia="仿宋_GB2312" w:cs="仿宋_GB2312"/>
          <w:b w:val="0"/>
          <w:bCs w:val="0"/>
          <w:color w:val="auto"/>
          <w:sz w:val="32"/>
          <w:szCs w:val="32"/>
          <w:shd w:val="clear" w:color="auto" w:fill="FFFFFF"/>
        </w:rPr>
        <w:t>饮用水水源地</w:t>
      </w:r>
      <w:r>
        <w:rPr>
          <w:rFonts w:hint="eastAsia" w:ascii="仿宋_GB2312" w:hAnsi="仿宋_GB2312" w:eastAsia="仿宋_GB2312" w:cs="仿宋_GB2312"/>
          <w:b w:val="0"/>
          <w:bCs w:val="0"/>
          <w:sz w:val="32"/>
          <w:szCs w:val="32"/>
          <w:shd w:val="clear" w:color="auto" w:fill="FFFFFF"/>
        </w:rPr>
        <w:t>自动化监控水平。</w:t>
      </w:r>
    </w:p>
    <w:p>
      <w:pPr>
        <w:numPr>
          <w:ilvl w:val="0"/>
          <w:numId w:val="6"/>
        </w:numPr>
        <w:spacing w:beforeLines="0" w:afterLines="0" w:line="600" w:lineRule="exact"/>
        <w:ind w:firstLine="640" w:firstLineChars="200"/>
        <w:rPr>
          <w:rFonts w:hint="eastAsia" w:ascii="仿宋_GB2312" w:hAnsi="仿宋_GB2312" w:eastAsia="仿宋_GB2312" w:cs="仿宋_GB2312"/>
          <w:b w:val="0"/>
          <w:bCs w:val="0"/>
          <w:sz w:val="32"/>
          <w:szCs w:val="32"/>
        </w:rPr>
      </w:pPr>
      <w:bookmarkStart w:id="102" w:name="_Toc135907498"/>
      <w:r>
        <w:rPr>
          <w:rFonts w:hint="eastAsia" w:ascii="仿宋_GB2312" w:hAnsi="仿宋_GB2312" w:eastAsia="仿宋_GB2312" w:cs="仿宋_GB2312"/>
          <w:b w:val="0"/>
          <w:bCs w:val="0"/>
          <w:sz w:val="32"/>
          <w:szCs w:val="32"/>
        </w:rPr>
        <w:t>农村人居环境改善</w:t>
      </w:r>
      <w:bookmarkEnd w:id="102"/>
    </w:p>
    <w:p>
      <w:pPr>
        <w:pStyle w:val="158"/>
        <w:numPr>
          <w:ilvl w:val="0"/>
          <w:numId w:val="7"/>
        </w:numPr>
        <w:spacing w:line="600" w:lineRule="exact"/>
        <w:ind w:firstLine="640" w:firstLineChars="200"/>
        <w:outlineLvl w:val="9"/>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分区分类推进农村生活污水治理，因地制宜选取污水处理与资源化利用模式，提升村寨农村生活污水处理能力。支持农村生活污水治理与农村改厕衔接，推进城镇污水处理设施建设和服务向农村延伸。</w:t>
      </w:r>
      <w:r>
        <w:rPr>
          <w:rFonts w:hint="eastAsia" w:ascii="仿宋_GB2312" w:hAnsi="仿宋_GB2312" w:eastAsia="仿宋_GB2312" w:cs="仿宋_GB2312"/>
          <w:b w:val="0"/>
          <w:bCs w:val="0"/>
          <w:color w:val="000000" w:themeColor="text1"/>
          <w:sz w:val="32"/>
          <w:szCs w:val="32"/>
          <w14:textFill>
            <w14:solidFill>
              <w14:schemeClr w14:val="tx1"/>
            </w14:solidFill>
          </w14:textFill>
        </w:rPr>
        <w:t>深入实施农村生活垃圾整治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shd w:val="clear" w:color="auto" w:fill="FFFFFF"/>
        </w:rPr>
        <w:t>加快农村可回收物及有害垃圾收集点建设，突出源头分类就地消化，减少外运处置量，提高农村生活垃圾治理水平。</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持续推进农村“厕所革命”</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对照无害化卫生厕所标准，把改厕与改房、改厨、改圈相结合，与粪污治理配套，优先改造城镇周边、饮用水源保护地、旅游景区、乡村振兴示范点、高速公路沿线村寨，由近及远纵深推进</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深入实施美丽乡村建设</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坚持推进乡村振兴“治房”建设</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加强乡村风貌整体管控</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深入实施村庄综合治理</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坚持以“清清爽爽促振兴”为主体，清理农村生活垃圾、村内塘沟、畜禽养殖粪污等农业生产废弃物，做到屋净、路净、厕净、沟净、水净，实现庭院美、村庄美、环境美、田园美，确保村庄治理制度化、常态化。坚持不懈引领良好乡风乡俗，加强农村群众性自治组织建设，深入实施公民道德建设工程，推进乡村法治建设，弘扬道德新风。创新推广乡村治理模式，</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不断提高乡村治理智能化水平，</w:t>
      </w:r>
      <w:r>
        <w:rPr>
          <w:rFonts w:hint="eastAsia" w:ascii="仿宋_GB2312" w:hAnsi="仿宋_GB2312" w:eastAsia="仿宋_GB2312" w:cs="仿宋_GB2312"/>
          <w:b w:val="0"/>
          <w:bCs w:val="0"/>
          <w:sz w:val="32"/>
          <w:szCs w:val="32"/>
          <w:shd w:val="clear" w:color="auto" w:fill="FFFFFF"/>
        </w:rPr>
        <w:t>建设现代乡村治理创新区</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打造乡村振兴示范点</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统筹“保留乡土特色、保护地方文化、保障宜居宜业”，深挖乡村蕴含的经济、生态、文化等功能，让乡村振兴示范点成为农村改革的“试验田”和“先行军”。</w:t>
      </w:r>
    </w:p>
    <w:p>
      <w:pPr>
        <w:numPr>
          <w:ilvl w:val="0"/>
          <w:numId w:val="6"/>
        </w:numPr>
        <w:spacing w:beforeLines="0" w:afterLines="0" w:line="600" w:lineRule="exact"/>
        <w:ind w:firstLine="640" w:firstLineChars="200"/>
        <w:rPr>
          <w:rFonts w:hint="eastAsia" w:ascii="仿宋_GB2312" w:hAnsi="仿宋_GB2312" w:eastAsia="仿宋_GB2312" w:cs="仿宋_GB2312"/>
          <w:b w:val="0"/>
          <w:bCs w:val="0"/>
          <w:sz w:val="32"/>
          <w:szCs w:val="32"/>
        </w:rPr>
      </w:pPr>
      <w:bookmarkStart w:id="103" w:name="_Toc135907499"/>
      <w:r>
        <w:rPr>
          <w:rFonts w:hint="eastAsia" w:ascii="仿宋_GB2312" w:hAnsi="仿宋_GB2312" w:eastAsia="仿宋_GB2312" w:cs="仿宋_GB2312"/>
          <w:b w:val="0"/>
          <w:bCs w:val="0"/>
          <w:sz w:val="32"/>
          <w:szCs w:val="32"/>
        </w:rPr>
        <w:t>生活方式绿色转型</w:t>
      </w:r>
      <w:bookmarkEnd w:id="103"/>
    </w:p>
    <w:p>
      <w:pPr>
        <w:pStyle w:val="158"/>
        <w:numPr>
          <w:ilvl w:val="-1"/>
          <w:numId w:val="0"/>
        </w:numPr>
        <w:spacing w:line="600" w:lineRule="exact"/>
        <w:ind w:firstLine="640" w:firstLineChars="200"/>
        <w:outlineLvl w:val="9"/>
        <w:rPr>
          <w:rFonts w:hint="eastAsia" w:ascii="仿宋_GB2312" w:hAnsi="仿宋_GB2312" w:eastAsia="仿宋_GB2312" w:cs="仿宋_GB2312"/>
          <w:b w:val="0"/>
          <w:bCs w:val="0"/>
          <w:sz w:val="32"/>
          <w:szCs w:val="32"/>
          <w:shd w:val="clear"/>
        </w:rPr>
      </w:pPr>
      <w:r>
        <w:rPr>
          <w:rFonts w:hint="eastAsia" w:ascii="仿宋_GB2312" w:hAnsi="仿宋_GB2312" w:eastAsia="仿宋_GB2312" w:cs="仿宋_GB2312"/>
          <w:b w:val="0"/>
          <w:bCs w:val="0"/>
          <w:sz w:val="32"/>
          <w:szCs w:val="32"/>
        </w:rPr>
        <w:t>推动高水平绿色建筑发展，</w:t>
      </w:r>
      <w:r>
        <w:rPr>
          <w:rFonts w:hint="eastAsia" w:ascii="仿宋_GB2312" w:hAnsi="仿宋_GB2312" w:eastAsia="仿宋_GB2312" w:cs="仿宋_GB2312"/>
          <w:b w:val="0"/>
          <w:bCs w:val="0"/>
          <w:color w:val="auto"/>
          <w:sz w:val="32"/>
          <w:szCs w:val="32"/>
          <w:shd w:val="clear" w:color="auto" w:fill="auto"/>
        </w:rPr>
        <w:t>推行太阳能、热泵、地热能、生物质能等清洁低碳供暖。</w:t>
      </w:r>
      <w:r>
        <w:rPr>
          <w:rFonts w:hint="eastAsia" w:ascii="仿宋_GB2312" w:hAnsi="仿宋_GB2312" w:eastAsia="仿宋_GB2312" w:cs="仿宋_GB2312"/>
          <w:b w:val="0"/>
          <w:bCs w:val="0"/>
          <w:sz w:val="32"/>
          <w:szCs w:val="32"/>
        </w:rPr>
        <w:t>健全绿色低碳出行方式，完善城市慢行系统，构建“公交+步行（自行车）”交通模式，建设“公交都市”，打造“以轨道交通为骨干，常规公交为基础，出租车、定制公交等其他方式为补充”的公交出行服务体系。实施农村路网升级行动计划，深入推进“四好农村路”建设和县乡公路提级改造，实现城乡客运一体化。</w:t>
      </w:r>
      <w:r>
        <w:rPr>
          <w:rFonts w:hint="eastAsia" w:ascii="仿宋_GB2312" w:hAnsi="仿宋_GB2312" w:eastAsia="仿宋_GB2312" w:cs="仿宋_GB2312"/>
          <w:b w:val="0"/>
          <w:bCs w:val="0"/>
          <w:color w:val="auto"/>
          <w:sz w:val="32"/>
          <w:szCs w:val="32"/>
        </w:rPr>
        <w:t>共创城市绿色文明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shd w:val="clear" w:color="auto" w:fill="auto"/>
        </w:rPr>
        <w:t>积极开展绿色生活创建</w:t>
      </w:r>
      <w:r>
        <w:rPr>
          <w:rFonts w:hint="eastAsia" w:ascii="仿宋_GB2312" w:hAnsi="仿宋_GB2312" w:eastAsia="仿宋_GB2312" w:cs="仿宋_GB2312"/>
          <w:b w:val="0"/>
          <w:bCs w:val="0"/>
          <w:sz w:val="32"/>
          <w:szCs w:val="32"/>
          <w:shd w:val="clear"/>
          <w:lang w:eastAsia="zh-CN"/>
        </w:rPr>
        <w:t>，</w:t>
      </w:r>
      <w:r>
        <w:rPr>
          <w:rFonts w:hint="eastAsia" w:ascii="仿宋_GB2312" w:hAnsi="仿宋_GB2312" w:eastAsia="仿宋_GB2312" w:cs="仿宋_GB2312"/>
          <w:b w:val="0"/>
          <w:bCs w:val="0"/>
          <w:color w:val="auto"/>
          <w:sz w:val="32"/>
          <w:szCs w:val="32"/>
          <w:shd w:val="clear" w:color="auto" w:fill="auto"/>
        </w:rPr>
        <w:t>组织开展节约型机关、绿色家庭、绿色学校、绿色社区、绿色出行、绿色商场、绿色建筑等绿色生活创建活动</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推动形成绿色生活方式</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加大生态环境宣传产品的制作和传播力度</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结合地域特色和民族文化打造贵阳生态文化品牌</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组织开展生态文明公益活动</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广泛发展生态环保志愿服务项目和志愿者队伍。</w:t>
      </w:r>
    </w:p>
    <w:p>
      <w:pPr>
        <w:pStyle w:val="158"/>
        <w:numPr>
          <w:ilvl w:val="-1"/>
          <w:numId w:val="0"/>
        </w:numPr>
        <w:spacing w:line="600" w:lineRule="exact"/>
        <w:ind w:left="0" w:leftChars="0" w:firstLine="640" w:firstLineChars="200"/>
        <w:outlineLvl w:val="9"/>
        <w:rPr>
          <w:rFonts w:eastAsia="仿宋"/>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auto"/>
          <w:sz w:val="32"/>
          <w:szCs w:val="32"/>
        </w:rPr>
        <w:t>促进全社会绿色消费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shd w:val="clear" w:color="auto" w:fill="auto"/>
        </w:rPr>
        <w:t>建立绿色消费激励</w:t>
      </w:r>
      <w:r>
        <w:rPr>
          <w:rFonts w:hint="eastAsia" w:ascii="仿宋_GB2312" w:hAnsi="仿宋_GB2312" w:eastAsia="仿宋_GB2312" w:cs="仿宋_GB2312"/>
          <w:b w:val="0"/>
          <w:bCs w:val="0"/>
          <w:color w:val="auto"/>
          <w:sz w:val="32"/>
          <w:szCs w:val="32"/>
          <w:shd w:val="clear" w:color="auto" w:fill="auto"/>
          <w:lang w:val="en-US" w:eastAsia="zh-CN"/>
        </w:rPr>
        <w:t>机制</w:t>
      </w:r>
      <w:r>
        <w:rPr>
          <w:rFonts w:hint="eastAsia" w:ascii="仿宋_GB2312" w:hAnsi="仿宋_GB2312" w:eastAsia="仿宋_GB2312" w:cs="仿宋_GB2312"/>
          <w:b w:val="0"/>
          <w:bCs w:val="0"/>
          <w:sz w:val="32"/>
          <w:szCs w:val="32"/>
          <w:shd w:val="clear"/>
          <w:lang w:eastAsia="zh-CN"/>
        </w:rPr>
        <w:t>，</w:t>
      </w:r>
      <w:r>
        <w:rPr>
          <w:rFonts w:hint="eastAsia" w:ascii="仿宋_GB2312" w:hAnsi="仿宋_GB2312" w:eastAsia="仿宋_GB2312" w:cs="仿宋_GB2312"/>
          <w:b w:val="0"/>
          <w:bCs w:val="0"/>
          <w:color w:val="auto"/>
          <w:sz w:val="32"/>
          <w:szCs w:val="32"/>
          <w:shd w:val="clear" w:color="auto" w:fill="auto"/>
        </w:rPr>
        <w:t>加大新能源汽车和节能节水环保家电、建材、照明产品等推广力度</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开展绿色产品促销</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围绕吃、穿、用、行等消费环节</w:t>
      </w:r>
      <w:r>
        <w:rPr>
          <w:rFonts w:hint="default"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开展家电“以旧换新”、新能源汽车、节能家电、智能家电促销和下乡活动</w:t>
      </w:r>
      <w:r>
        <w:rPr>
          <w:rFonts w:hint="eastAsia" w:ascii="仿宋_GB2312" w:hAnsi="仿宋_GB2312" w:eastAsia="仿宋_GB2312" w:cs="仿宋_GB2312"/>
          <w:b w:val="0"/>
          <w:bCs w:val="0"/>
          <w:sz w:val="32"/>
          <w:szCs w:val="32"/>
          <w:shd w:val="clear"/>
          <w:lang w:eastAsia="zh-CN"/>
        </w:rPr>
        <w:t>；</w:t>
      </w:r>
      <w:r>
        <w:rPr>
          <w:rFonts w:hint="eastAsia" w:ascii="仿宋_GB2312" w:hAnsi="仿宋_GB2312" w:eastAsia="仿宋_GB2312" w:cs="仿宋_GB2312"/>
          <w:b w:val="0"/>
          <w:bCs w:val="0"/>
          <w:color w:val="auto"/>
          <w:sz w:val="32"/>
          <w:szCs w:val="32"/>
          <w:shd w:val="clear" w:color="auto" w:fill="auto"/>
        </w:rPr>
        <w:t>实施政府绿色采购</w:t>
      </w:r>
      <w:r>
        <w:rPr>
          <w:rFonts w:hint="eastAsia" w:ascii="仿宋_GB2312" w:hAnsi="仿宋_GB2312" w:eastAsia="仿宋_GB2312" w:cs="仿宋_GB2312"/>
          <w:b w:val="0"/>
          <w:bCs w:val="0"/>
          <w:sz w:val="32"/>
          <w:szCs w:val="32"/>
          <w:shd w:val="clear"/>
          <w:lang w:eastAsia="zh-CN"/>
        </w:rPr>
        <w:t>，</w:t>
      </w:r>
      <w:bookmarkStart w:id="104" w:name="_Hlk135405941"/>
      <w:r>
        <w:rPr>
          <w:rFonts w:hint="eastAsia" w:ascii="仿宋_GB2312" w:hAnsi="仿宋_GB2312" w:eastAsia="仿宋_GB2312" w:cs="仿宋_GB2312"/>
          <w:b w:val="0"/>
          <w:bCs w:val="0"/>
          <w:color w:val="auto"/>
          <w:sz w:val="32"/>
          <w:szCs w:val="32"/>
          <w:shd w:val="clear" w:color="auto" w:fill="auto"/>
        </w:rPr>
        <w:t>严格依据政府采购节能产品、环境标志产品品目清单和认证证书，执行政府强制采购和优先采购，确保绿色采购和支持绿色发展的政府采购政策功能要求落实落细。</w:t>
      </w:r>
      <w:bookmarkEnd w:id="104"/>
      <w:r>
        <w:rPr>
          <w:rFonts w:hint="eastAsia" w:ascii="仿宋_GB2312" w:hAnsi="仿宋_GB2312" w:eastAsia="仿宋_GB2312" w:cs="仿宋_GB2312"/>
          <w:b w:val="0"/>
          <w:bCs w:val="0"/>
          <w:color w:val="auto"/>
          <w:sz w:val="32"/>
          <w:szCs w:val="32"/>
          <w:shd w:val="clear" w:color="auto" w:fill="auto"/>
        </w:rPr>
        <w:t>推广绿色消费理念</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使绿色消费理念在全社会蔚然成风，成为市民群众的自觉行为</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推行绿色餐饮</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大力推广餐饮外卖领域可降解餐具，鼓励少用、不用一次性餐具。</w:t>
      </w:r>
    </w:p>
    <w:p>
      <w:pPr>
        <w:pStyle w:val="158"/>
        <w:spacing w:line="600" w:lineRule="exact"/>
        <w:ind w:firstLine="640" w:firstLineChars="200"/>
        <w:outlineLvl w:val="1"/>
        <w:rPr>
          <w:rFonts w:hint="eastAsia" w:ascii="楷体_GB2312" w:hAnsi="楷体_GB2312" w:eastAsia="楷体_GB2312" w:cs="楷体_GB2312"/>
          <w:b w:val="0"/>
          <w:bCs w:val="0"/>
          <w:sz w:val="32"/>
          <w:szCs w:val="32"/>
        </w:rPr>
      </w:pPr>
      <w:bookmarkStart w:id="105" w:name="_Toc135907500"/>
      <w:r>
        <w:rPr>
          <w:rFonts w:hint="eastAsia" w:ascii="楷体_GB2312" w:hAnsi="楷体_GB2312" w:eastAsia="楷体_GB2312" w:cs="楷体_GB2312"/>
          <w:b w:val="0"/>
          <w:bCs w:val="0"/>
          <w:sz w:val="32"/>
          <w:szCs w:val="32"/>
        </w:rPr>
        <w:t>（六）夯实生态文化底蕴，提升生态文化内涵</w:t>
      </w:r>
      <w:bookmarkEnd w:id="105"/>
    </w:p>
    <w:p>
      <w:pPr>
        <w:spacing w:beforeLines="0" w:afterLines="0" w:line="600" w:lineRule="exact"/>
        <w:ind w:firstLine="640" w:firstLineChars="200"/>
        <w:rPr>
          <w:rFonts w:hint="eastAsia" w:ascii="仿宋_GB2312" w:hAnsi="仿宋_GB2312" w:eastAsia="仿宋_GB2312" w:cs="仿宋_GB2312"/>
          <w:b w:val="0"/>
          <w:bCs w:val="0"/>
          <w:sz w:val="32"/>
          <w:szCs w:val="32"/>
        </w:rPr>
      </w:pPr>
      <w:bookmarkStart w:id="106" w:name="_Toc135907501"/>
      <w:r>
        <w:rPr>
          <w:rFonts w:hint="eastAsia" w:ascii="仿宋_GB2312" w:hAnsi="仿宋_GB2312" w:eastAsia="仿宋_GB2312" w:cs="仿宋_GB2312"/>
          <w:b w:val="0"/>
          <w:bCs w:val="0"/>
          <w:sz w:val="32"/>
          <w:szCs w:val="32"/>
        </w:rPr>
        <w:t>1.推进生态文化保护传承</w:t>
      </w:r>
      <w:bookmarkEnd w:id="106"/>
      <w:bookmarkStart w:id="107" w:name="_Toc135907502"/>
    </w:p>
    <w:bookmarkEnd w:id="107"/>
    <w:p>
      <w:pPr>
        <w:pStyle w:val="158"/>
        <w:spacing w:beforeLines="0" w:afterLines="0" w:line="600" w:lineRule="exact"/>
        <w:ind w:firstLine="640" w:firstLineChars="200"/>
        <w:outlineLvl w:val="3"/>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弘扬阳明文化精神</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以阳明文化为载体</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深度加强与国内外学术机构交流，持续推动阳明文化品牌化、产业化、市场化，打造贵阳乃至贵州的文化“王牌”。</w:t>
      </w:r>
      <w:r>
        <w:rPr>
          <w:rFonts w:hint="eastAsia" w:ascii="仿宋_GB2312" w:hAnsi="仿宋_GB2312" w:eastAsia="仿宋_GB2312" w:cs="仿宋_GB2312"/>
          <w:b w:val="0"/>
          <w:bCs w:val="0"/>
          <w:color w:val="000000" w:themeColor="text1"/>
          <w:sz w:val="32"/>
          <w:szCs w:val="32"/>
          <w14:textFill>
            <w14:solidFill>
              <w14:schemeClr w14:val="tx1"/>
            </w14:solidFill>
          </w14:textFill>
        </w:rPr>
        <w:t>保护文化遗产“根脉”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提升文物保护水平</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sz w:val="32"/>
          <w:szCs w:val="32"/>
        </w:rPr>
        <w:t>建立与国土空间规划接轨的全市文物资源管理动态数据库，划定文化遗产资源“一张图”，明确保护范围、功能分区，明确保护目标与保障措施，建立保护管理体系</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加大非遗保护力度</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sz w:val="32"/>
          <w:szCs w:val="32"/>
        </w:rPr>
        <w:t>深入开展非遗普查、专题调查，做好新发现非遗项目的认定、记录、建档，有序推进非遗数字化建设；不断完善全市非遗数据库功能。推动历史文化保护与传承</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深挖贵阳老城历史文化脉络和自然生态特色；加强历史文化名镇、名村以及传统村落保护，保持和延续其传统格局和历史风貌</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加快长征国家文化公园贵阳段建设，重点打造长征数字科技艺术馆等爱国主义教育基地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整合少数民族文化资源，推进民族文化的梳理、保护与传承工作。</w:t>
      </w:r>
    </w:p>
    <w:p>
      <w:pPr>
        <w:numPr>
          <w:ilvl w:val="0"/>
          <w:numId w:val="8"/>
        </w:numPr>
        <w:spacing w:beforeLines="0" w:afterLines="0" w:line="600" w:lineRule="exact"/>
        <w:ind w:firstLine="640" w:firstLineChars="200"/>
        <w:rPr>
          <w:rFonts w:hint="eastAsia" w:ascii="仿宋_GB2312" w:hAnsi="仿宋_GB2312" w:eastAsia="仿宋_GB2312" w:cs="仿宋_GB2312"/>
          <w:b w:val="0"/>
          <w:bCs w:val="0"/>
          <w:sz w:val="32"/>
          <w:szCs w:val="32"/>
        </w:rPr>
      </w:pPr>
      <w:bookmarkStart w:id="108" w:name="_Toc135907505"/>
      <w:r>
        <w:rPr>
          <w:rFonts w:hint="eastAsia" w:ascii="仿宋_GB2312" w:hAnsi="仿宋_GB2312" w:eastAsia="仿宋_GB2312" w:cs="仿宋_GB2312"/>
          <w:b w:val="0"/>
          <w:bCs w:val="0"/>
          <w:sz w:val="32"/>
          <w:szCs w:val="32"/>
        </w:rPr>
        <w:t>拓宽生态文化传播路径</w:t>
      </w:r>
      <w:bookmarkEnd w:id="108"/>
      <w:bookmarkStart w:id="109" w:name="_Toc135907506"/>
    </w:p>
    <w:bookmarkEnd w:id="109"/>
    <w:p>
      <w:pPr>
        <w:spacing w:beforeLines="0" w:afterLines="0" w:line="600" w:lineRule="exact"/>
        <w:ind w:firstLine="640" w:firstLineChars="200"/>
        <w:rPr>
          <w:rFonts w:hint="eastAsia" w:ascii="仿宋_GB2312" w:hAnsi="仿宋_GB2312" w:eastAsia="仿宋_GB2312" w:cs="仿宋_GB2312"/>
          <w:b w:val="0"/>
          <w:bCs w:val="0"/>
          <w:color w:val="000000"/>
          <w:sz w:val="32"/>
          <w:szCs w:val="32"/>
        </w:rPr>
      </w:pPr>
      <w:bookmarkStart w:id="110" w:name="_Toc135907509"/>
      <w:r>
        <w:rPr>
          <w:rFonts w:hint="eastAsia" w:ascii="仿宋_GB2312" w:hAnsi="仿宋_GB2312" w:eastAsia="仿宋_GB2312" w:cs="仿宋_GB2312"/>
          <w:b w:val="0"/>
          <w:bCs w:val="0"/>
          <w:color w:val="000000"/>
          <w:sz w:val="32"/>
          <w:szCs w:val="32"/>
        </w:rPr>
        <w:t>发挥生态文明国际论坛优势</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办好我国唯一以生态文明为主题的国家级国际论坛，展示贵阳生态优先、逐绿而行的绿色崛起之路，提升贵阳生态文明建设的国际影响力，把生态文明贵阳国际论坛的平台优势、品牌优势转换为贵阳的生态优势、发展胜势。丰富生态文化传播形式</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围绕贵阳市重大生态保护修复和环境治理成效、贵阳市生物多样性保护成果与经验等专题开展各类生态会议、生态公园、自然保护区、生态保护人物等典型创建</w:t>
      </w:r>
      <w:r>
        <w:rPr>
          <w:rFonts w:hint="eastAsia" w:ascii="仿宋_GB2312" w:hAnsi="仿宋_GB2312" w:eastAsia="仿宋_GB2312" w:cs="仿宋_GB2312"/>
          <w:b w:val="0"/>
          <w:bCs w:val="0"/>
          <w:color w:val="000000"/>
          <w:sz w:val="32"/>
          <w:szCs w:val="32"/>
          <w:lang w:val="en-US" w:eastAsia="zh-CN"/>
        </w:rPr>
        <w:t>的</w:t>
      </w:r>
      <w:r>
        <w:rPr>
          <w:rFonts w:hint="eastAsia" w:ascii="仿宋_GB2312" w:hAnsi="仿宋_GB2312" w:eastAsia="仿宋_GB2312" w:cs="仿宋_GB2312"/>
          <w:b w:val="0"/>
          <w:bCs w:val="0"/>
          <w:color w:val="000000"/>
          <w:sz w:val="32"/>
          <w:szCs w:val="32"/>
        </w:rPr>
        <w:t>宣传报道，提升全民生态责任意识。加强公众生态文化教育</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充分发挥各级、各部门、各行业在生态文明建设中的重要作用，加强公众教育场馆为载体的生态文明宣教力度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提升公众对生态文明建设的参与度与满意度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2"/>
          <w:sz w:val="32"/>
          <w:szCs w:val="32"/>
        </w:rPr>
        <w:t>分层分类地进行生态文化教育</w:t>
      </w:r>
      <w:r>
        <w:rPr>
          <w:rFonts w:hint="eastAsia"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sz w:val="32"/>
          <w:szCs w:val="32"/>
        </w:rPr>
        <w:t>将生态意识教育、生态环境</w:t>
      </w:r>
      <w:r>
        <w:rPr>
          <w:rFonts w:hint="eastAsia" w:ascii="仿宋_GB2312" w:hAnsi="仿宋_GB2312" w:eastAsia="仿宋_GB2312" w:cs="仿宋_GB2312"/>
          <w:b w:val="0"/>
          <w:bCs w:val="0"/>
          <w:color w:val="000000"/>
          <w:sz w:val="32"/>
          <w:szCs w:val="32"/>
          <w:lang w:val="en-US" w:eastAsia="zh-CN"/>
        </w:rPr>
        <w:t>法治</w:t>
      </w:r>
      <w:r>
        <w:rPr>
          <w:rFonts w:hint="eastAsia" w:ascii="仿宋_GB2312" w:hAnsi="仿宋_GB2312" w:eastAsia="仿宋_GB2312" w:cs="仿宋_GB2312"/>
          <w:b w:val="0"/>
          <w:bCs w:val="0"/>
          <w:color w:val="000000"/>
          <w:sz w:val="32"/>
          <w:szCs w:val="32"/>
        </w:rPr>
        <w:t>教育和生态文明认知技能教育结合，融入学生学习和生活中</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通过产学研合作交流和公共服务平台融合，分类推进自然教育与大生态、大健康、大数据、大旅游等不同行业与领域的融合发展，开发具有贵阳生态文化特色的自然研学课程与产品，健全生态文明教育体系。</w:t>
      </w:r>
    </w:p>
    <w:p>
      <w:pPr>
        <w:numPr>
          <w:ilvl w:val="0"/>
          <w:numId w:val="8"/>
        </w:numPr>
        <w:spacing w:beforeLines="0" w:afterLines="0"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推进生态文化产业发展</w:t>
      </w:r>
      <w:bookmarkEnd w:id="110"/>
    </w:p>
    <w:p>
      <w:pPr>
        <w:spacing w:beforeLines="0" w:afterLines="0" w:line="600" w:lineRule="exact"/>
        <w:ind w:firstLine="640" w:firstLineChars="200"/>
        <w:rPr>
          <w:rFonts w:eastAsia="仿宋"/>
          <w:b w:val="0"/>
          <w:bCs w:val="0"/>
          <w:color w:val="000000"/>
          <w:sz w:val="32"/>
          <w:szCs w:val="32"/>
        </w:rPr>
      </w:pPr>
      <w:r>
        <w:rPr>
          <w:rFonts w:hint="eastAsia" w:ascii="仿宋_GB2312" w:hAnsi="仿宋_GB2312" w:eastAsia="仿宋_GB2312" w:cs="仿宋_GB2312"/>
          <w:b w:val="0"/>
          <w:bCs w:val="0"/>
          <w:color w:val="000000"/>
          <w:sz w:val="32"/>
          <w:szCs w:val="32"/>
        </w:rPr>
        <w:t>大数据推广民族文化产品</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凝</w:t>
      </w:r>
      <w:r>
        <w:rPr>
          <w:rFonts w:hint="eastAsia" w:ascii="仿宋_GB2312" w:hAnsi="仿宋_GB2312" w:eastAsia="仿宋_GB2312" w:cs="仿宋_GB2312"/>
          <w:b w:val="0"/>
          <w:bCs w:val="0"/>
          <w:color w:val="000000"/>
          <w:sz w:val="32"/>
          <w:szCs w:val="32"/>
          <w:lang w:val="en-US" w:eastAsia="zh-CN"/>
        </w:rPr>
        <w:t>炼</w:t>
      </w:r>
      <w:r>
        <w:rPr>
          <w:rFonts w:hint="eastAsia" w:ascii="仿宋_GB2312" w:hAnsi="仿宋_GB2312" w:eastAsia="仿宋_GB2312" w:cs="仿宋_GB2312"/>
          <w:b w:val="0"/>
          <w:bCs w:val="0"/>
          <w:color w:val="000000"/>
          <w:sz w:val="32"/>
          <w:szCs w:val="32"/>
        </w:rPr>
        <w:t>民族文化中的生态文明成果，建设物理分散、逻辑集中、政企互通、事企互联、数据共享、安全可信的文化大数据服务及应用体系，增强民族文化传播力。持续推进特色小镇发展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以物联网、大数据、人工智能、区块链等数字化技术与特色小镇进行融合应用，切实提高特色小镇数字化，以全新的角度展示小镇特色风貌。扩大文旅产业发展优势</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借助文化旅游主题品牌，打造引领贵阳文化旅游业发展的风向标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推动民族文化、传统文化、特色旅游商品展示、推广。</w:t>
      </w:r>
    </w:p>
    <w:p>
      <w:pPr>
        <w:pStyle w:val="160"/>
        <w:spacing w:line="600" w:lineRule="exact"/>
        <w:ind w:firstLine="640" w:firstLineChars="200"/>
        <w:outlineLvl w:val="0"/>
        <w:rPr>
          <w:b w:val="0"/>
          <w:bCs w:val="0"/>
        </w:rPr>
      </w:pPr>
      <w:bookmarkStart w:id="111" w:name="_Toc135907531"/>
      <w:bookmarkStart w:id="112" w:name="_Toc103694069"/>
      <w:r>
        <w:rPr>
          <w:rFonts w:hint="eastAsia"/>
          <w:b w:val="0"/>
          <w:bCs w:val="0"/>
        </w:rPr>
        <w:t>五</w:t>
      </w:r>
      <w:r>
        <w:rPr>
          <w:b w:val="0"/>
          <w:bCs w:val="0"/>
        </w:rPr>
        <w:t>、保障措施</w:t>
      </w:r>
      <w:bookmarkEnd w:id="111"/>
      <w:bookmarkEnd w:id="112"/>
    </w:p>
    <w:p>
      <w:pPr>
        <w:pStyle w:val="158"/>
        <w:spacing w:line="60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bookmarkStart w:id="113" w:name="_Toc137130859"/>
      <w:bookmarkStart w:id="114" w:name="_Toc103694070"/>
      <w:bookmarkStart w:id="115" w:name="_Toc135907532"/>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组织领导</w:t>
      </w:r>
      <w:bookmarkEnd w:id="113"/>
    </w:p>
    <w:p>
      <w:pPr>
        <w:pStyle w:val="367"/>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进规划实施，建立完善分工负责和统一监管的工作机制，形成市、区（县）、乡（镇）分级管理，各部门相互配合，上下联动，良性互动的推进机制，狠抓工作落实。各部门“一把手”亲自抓、负总责，组织制定本单位实施计划，确保完成国家生态文明建设示范区目标任务。</w:t>
      </w:r>
    </w:p>
    <w:p>
      <w:pPr>
        <w:pStyle w:val="158"/>
        <w:spacing w:line="60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bookmarkStart w:id="116" w:name="_Toc103694071"/>
      <w:bookmarkStart w:id="117" w:name="_Toc137130860"/>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监督考核</w:t>
      </w:r>
      <w:bookmarkEnd w:id="116"/>
      <w:bookmarkEnd w:id="117"/>
    </w:p>
    <w:p>
      <w:pPr>
        <w:pStyle w:val="367"/>
        <w:spacing w:line="6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将生态文明建设工作纳入贵阳贵安高质量发展绩效考核，围绕重要项目、重大工作、重点任务抓督查，抓推进。加强目标任务完成情况的调度、督查力度，督促各责任单位抓好工作任务落实。进一步强化生态文明</w:t>
      </w:r>
      <w:r>
        <w:rPr>
          <w:rFonts w:hint="eastAsia" w:ascii="仿宋_GB2312" w:hAnsi="仿宋_GB2312" w:eastAsia="仿宋_GB2312" w:cs="仿宋_GB2312"/>
          <w:color w:val="000000"/>
          <w:sz w:val="32"/>
          <w:szCs w:val="32"/>
          <w:highlight w:val="none"/>
          <w:lang w:val="en-US" w:eastAsia="zh-CN"/>
        </w:rPr>
        <w:t>建设</w:t>
      </w:r>
      <w:r>
        <w:rPr>
          <w:rFonts w:hint="eastAsia" w:ascii="仿宋_GB2312" w:hAnsi="仿宋_GB2312" w:eastAsia="仿宋_GB2312" w:cs="仿宋_GB2312"/>
          <w:color w:val="000000"/>
          <w:sz w:val="32"/>
          <w:szCs w:val="32"/>
          <w:highlight w:val="none"/>
        </w:rPr>
        <w:t>考核结果运用，让督查考核在抓落实中发挥“标尺”和“指航灯”作用。要将生态文明建设考核结果作为评优评</w:t>
      </w:r>
      <w:r>
        <w:rPr>
          <w:rFonts w:hint="eastAsia" w:ascii="仿宋_GB2312" w:hAnsi="仿宋_GB2312" w:eastAsia="仿宋_GB2312" w:cs="仿宋_GB2312"/>
          <w:color w:val="000000"/>
          <w:sz w:val="32"/>
          <w:szCs w:val="32"/>
          <w:highlight w:val="none"/>
          <w:lang w:val="en-US" w:eastAsia="zh-CN"/>
        </w:rPr>
        <w:t>先</w:t>
      </w:r>
      <w:r>
        <w:rPr>
          <w:rFonts w:hint="eastAsia" w:ascii="仿宋_GB2312" w:hAnsi="仿宋_GB2312" w:eastAsia="仿宋_GB2312" w:cs="仿宋_GB2312"/>
          <w:color w:val="000000"/>
          <w:sz w:val="32"/>
          <w:szCs w:val="32"/>
          <w:highlight w:val="none"/>
        </w:rPr>
        <w:t>的重要依据，对落实有力、成效显著的要给予表扬奖励，对工作不到位的要严格追责，用考核倒逼任务落实，激励广大党员干部敢干实干快干会干，助力各项工作落实。</w:t>
      </w:r>
    </w:p>
    <w:p>
      <w:pPr>
        <w:pStyle w:val="158"/>
        <w:spacing w:line="60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bookmarkStart w:id="118" w:name="_Toc103694072"/>
      <w:bookmarkStart w:id="119" w:name="_Toc137130861"/>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资金保障</w:t>
      </w:r>
      <w:bookmarkEnd w:id="118"/>
      <w:bookmarkEnd w:id="119"/>
    </w:p>
    <w:p>
      <w:pPr>
        <w:pStyle w:val="367"/>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拓宽筹资渠道，确保经费投入。</w:t>
      </w:r>
      <w:bookmarkStart w:id="120" w:name="_Hlk135413448"/>
      <w:r>
        <w:rPr>
          <w:rFonts w:hint="eastAsia" w:ascii="仿宋_GB2312" w:hAnsi="仿宋_GB2312" w:eastAsia="仿宋_GB2312" w:cs="仿宋_GB2312"/>
          <w:color w:val="000000"/>
          <w:sz w:val="32"/>
          <w:szCs w:val="32"/>
        </w:rPr>
        <w:t>坚持多渠道并举的原则，鼓励和支持社会资本投入生态文明建设</w:t>
      </w:r>
      <w:bookmarkEnd w:id="120"/>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积极争取国家和贵州省政策支持</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设立生态环境保护与建设专项</w:t>
      </w:r>
      <w:r>
        <w:rPr>
          <w:rFonts w:hint="eastAsia" w:ascii="仿宋_GB2312" w:hAnsi="仿宋_GB2312" w:eastAsia="仿宋_GB2312" w:cs="仿宋_GB2312"/>
          <w:b w:val="0"/>
          <w:bCs w:val="0"/>
          <w:color w:val="000000"/>
          <w:sz w:val="32"/>
          <w:szCs w:val="32"/>
          <w:lang w:val="en-US" w:eastAsia="zh-CN"/>
        </w:rPr>
        <w:t>资</w:t>
      </w:r>
      <w:r>
        <w:rPr>
          <w:rFonts w:hint="eastAsia" w:ascii="仿宋_GB2312" w:hAnsi="仿宋_GB2312" w:eastAsia="仿宋_GB2312" w:cs="仿宋_GB2312"/>
          <w:color w:val="000000"/>
          <w:sz w:val="32"/>
          <w:szCs w:val="32"/>
        </w:rPr>
        <w:t>金，积极争取国际国内赠款、贷款或双边合作，鼓励龙头企业和社会力量参与生态系统保护和绿色产业发展，形成政府、企业、个人、集体共同参与，国内外多方融资，多形式、多渠道、多层次筹集资金投入机制，确保生态文明建设的投入。完善生态文明建设相关资金管理体制，建立有效的资金使用和监管制度</w:t>
      </w:r>
      <w:r>
        <w:rPr>
          <w:rFonts w:hint="eastAsia" w:ascii="仿宋_GB2312" w:hAnsi="仿宋_GB2312" w:eastAsia="仿宋_GB2312" w:cs="仿宋_GB2312"/>
          <w:b w:val="0"/>
          <w:bCs w:val="0"/>
          <w:color w:val="000000"/>
          <w:sz w:val="32"/>
          <w:szCs w:val="32"/>
          <w:lang w:eastAsia="zh-CN"/>
        </w:rPr>
        <w:t>。</w:t>
      </w:r>
    </w:p>
    <w:p>
      <w:pPr>
        <w:pStyle w:val="158"/>
        <w:spacing w:line="60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bookmarkStart w:id="121" w:name="_Toc103694073"/>
      <w:bookmarkStart w:id="122" w:name="_Toc137130862"/>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科技创新</w:t>
      </w:r>
      <w:bookmarkEnd w:id="121"/>
      <w:bookmarkEnd w:id="122"/>
    </w:p>
    <w:p>
      <w:pPr>
        <w:pStyle w:val="367"/>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加强生态文明建设先进技术的引进、推广。</w:t>
      </w:r>
      <w:r>
        <w:rPr>
          <w:rFonts w:hint="eastAsia" w:ascii="仿宋_GB2312" w:hAnsi="仿宋_GB2312" w:eastAsia="仿宋_GB2312" w:cs="仿宋_GB2312"/>
          <w:b w:val="0"/>
          <w:bCs w:val="0"/>
          <w:color w:val="000000"/>
          <w:sz w:val="32"/>
          <w:szCs w:val="32"/>
          <w:lang w:val="en-US" w:eastAsia="zh-CN"/>
        </w:rPr>
        <w:t>密切</w:t>
      </w:r>
      <w:r>
        <w:rPr>
          <w:rFonts w:hint="eastAsia" w:ascii="仿宋_GB2312" w:hAnsi="仿宋_GB2312" w:eastAsia="仿宋_GB2312" w:cs="仿宋_GB2312"/>
          <w:color w:val="000000"/>
          <w:sz w:val="32"/>
          <w:szCs w:val="32"/>
        </w:rPr>
        <w:t>与国家级科研院所、高校和省科研机构合作，积极开发、引进清洁生产、生态环境保护、资源综合利用与废弃物资源化、生态产业等方面的各类新技术、新工艺、新产品。重点开展优势绿色产业生态设计、生态环境质量监测和预警技术、环境污染治理技术的推广，促进贵阳市生态产业发展和环境保护技术水平的提高。</w:t>
      </w:r>
    </w:p>
    <w:p>
      <w:pPr>
        <w:pStyle w:val="158"/>
        <w:spacing w:line="60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bookmarkStart w:id="123" w:name="_Toc103694074"/>
      <w:bookmarkStart w:id="124" w:name="_Toc137130863"/>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人才建设</w:t>
      </w:r>
      <w:bookmarkEnd w:id="123"/>
      <w:bookmarkEnd w:id="124"/>
    </w:p>
    <w:p>
      <w:pPr>
        <w:pStyle w:val="367"/>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相关政策，吸引国内外生态文明建设相关领域的人才来贵阳工作。利用川渝筑经济圈的人才优势，积极与高等院校和科研院所建立合作关系，建立生态文明重点建设领域专家库，为贵阳市生态文明建设出谋划策。重视生态文明建设科技带头人、特别是中青年科技带头人的培养，打造一支生态文明建设科技领军人才队伍。完善人才激励机制，营造人尽其才、才尽其用的人才发展环境。加强对从事生态环境保护、生态经济建设人员的技术培训，培养一支懂业务、善协调、会管理的生态文明建设专业队伍。</w:t>
      </w:r>
    </w:p>
    <w:bookmarkEnd w:id="114"/>
    <w:bookmarkEnd w:id="115"/>
    <w:p>
      <w:pPr>
        <w:pStyle w:val="158"/>
        <w:spacing w:line="600" w:lineRule="exact"/>
        <w:ind w:firstLine="0" w:firstLineChars="0"/>
        <w:outlineLvl w:val="9"/>
        <w:rPr>
          <w:rFonts w:hint="eastAsia" w:ascii="仿宋_GB2312" w:hAnsi="仿宋_GB2312" w:eastAsia="仿宋_GB2312" w:cs="仿宋_GB2312"/>
          <w:b w:val="0"/>
          <w:bCs w:val="0"/>
          <w:sz w:val="32"/>
          <w:szCs w:val="32"/>
        </w:rPr>
      </w:pPr>
    </w:p>
    <w:sectPr>
      <w:headerReference r:id="rId7" w:type="first"/>
      <w:footerReference r:id="rId10" w:type="first"/>
      <w:headerReference r:id="rId5" w:type="default"/>
      <w:footerReference r:id="rId8" w:type="default"/>
      <w:headerReference r:id="rId6" w:type="even"/>
      <w:footerReference r:id="rId9" w:type="even"/>
      <w:pgSz w:w="11905" w:h="16838"/>
      <w:pgMar w:top="2211" w:right="1474" w:bottom="2041" w:left="1587" w:header="737" w:footer="454" w:gutter="0"/>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F61D3D1-BB54-4FF3-9821-0DB38502B97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0D89C32-4AAE-4833-8A0D-C5871198EF94}"/>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40960328-BE40-4EE2-ACD1-9F04F3423E9A}"/>
  </w:font>
  <w:font w:name="方正粗黑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10" w:usb3="00000000" w:csb0="0006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120" w:after="120"/>
      <w:ind w:firstLine="360"/>
      <w:jc w:val="center"/>
    </w:pPr>
    <w:r>
      <w:fldChar w:fldCharType="begin"/>
    </w:r>
    <w:r>
      <w:instrText xml:space="preserve">PAGE   \* MERGEFORMAT</w:instrText>
    </w:r>
    <w:r>
      <w:fldChar w:fldCharType="separate"/>
    </w:r>
    <w:r>
      <w:rPr>
        <w:lang w:val="zh-CN"/>
      </w:rPr>
      <w:t>19</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5C531"/>
    <w:multiLevelType w:val="singleLevel"/>
    <w:tmpl w:val="ACC5C531"/>
    <w:lvl w:ilvl="0" w:tentative="0">
      <w:start w:val="1"/>
      <w:numFmt w:val="decimal"/>
      <w:suff w:val="space"/>
      <w:lvlText w:val="%1."/>
      <w:lvlJc w:val="left"/>
    </w:lvl>
  </w:abstractNum>
  <w:abstractNum w:abstractNumId="1">
    <w:nsid w:val="FC6C2E25"/>
    <w:multiLevelType w:val="singleLevel"/>
    <w:tmpl w:val="FC6C2E25"/>
    <w:lvl w:ilvl="0" w:tentative="0">
      <w:start w:val="2"/>
      <w:numFmt w:val="decimal"/>
      <w:suff w:val="space"/>
      <w:lvlText w:val="%1."/>
      <w:lvlJc w:val="left"/>
      <w:pPr>
        <w:ind w:left="77"/>
      </w:pPr>
    </w:lvl>
  </w:abstractNum>
  <w:abstractNum w:abstractNumId="2">
    <w:nsid w:val="FFFFFF7D"/>
    <w:multiLevelType w:val="singleLevel"/>
    <w:tmpl w:val="FFFFFF7D"/>
    <w:lvl w:ilvl="0" w:tentative="0">
      <w:start w:val="1"/>
      <w:numFmt w:val="decimal"/>
      <w:pStyle w:val="26"/>
      <w:lvlText w:val="%1."/>
      <w:lvlJc w:val="left"/>
      <w:pPr>
        <w:tabs>
          <w:tab w:val="left" w:pos="7292"/>
        </w:tabs>
        <w:ind w:left="7292" w:leftChars="600" w:hanging="360" w:hangingChars="200"/>
      </w:pPr>
    </w:lvl>
  </w:abstractNum>
  <w:abstractNum w:abstractNumId="3">
    <w:nsid w:val="1E0B29C2"/>
    <w:multiLevelType w:val="singleLevel"/>
    <w:tmpl w:val="1E0B29C2"/>
    <w:lvl w:ilvl="0" w:tentative="0">
      <w:start w:val="5"/>
      <w:numFmt w:val="chineseCounting"/>
      <w:suff w:val="nothing"/>
      <w:lvlText w:val="（%1）"/>
      <w:lvlJc w:val="left"/>
      <w:rPr>
        <w:rFonts w:hint="eastAsia"/>
      </w:rPr>
    </w:lvl>
  </w:abstractNum>
  <w:abstractNum w:abstractNumId="4">
    <w:nsid w:val="1FA04629"/>
    <w:multiLevelType w:val="singleLevel"/>
    <w:tmpl w:val="1FA04629"/>
    <w:lvl w:ilvl="0" w:tentative="0">
      <w:start w:val="1"/>
      <w:numFmt w:val="decimal"/>
      <w:suff w:val="nothing"/>
      <w:lvlText w:val="（%1）"/>
      <w:lvlJc w:val="left"/>
    </w:lvl>
  </w:abstractNum>
  <w:abstractNum w:abstractNumId="5">
    <w:nsid w:val="41AF169F"/>
    <w:multiLevelType w:val="multilevel"/>
    <w:tmpl w:val="41AF169F"/>
    <w:lvl w:ilvl="0" w:tentative="0">
      <w:start w:val="1"/>
      <w:numFmt w:val="chineseCountingThousand"/>
      <w:pStyle w:val="3"/>
      <w:lvlText w:val="第%1章"/>
      <w:lvlJc w:val="left"/>
      <w:pPr>
        <w:ind w:left="432" w:hanging="432"/>
      </w:pPr>
      <w:rPr>
        <w:rFonts w:hint="default" w:ascii="Times New Roman" w:hAnsi="Times New Roman" w:eastAsia="仿宋"/>
        <w:b/>
        <w:i w:val="0"/>
        <w:sz w:val="32"/>
        <w:szCs w:val="32"/>
      </w:rPr>
    </w:lvl>
    <w:lvl w:ilvl="1" w:tentative="0">
      <w:start w:val="1"/>
      <w:numFmt w:val="decimal"/>
      <w:pStyle w:val="4"/>
      <w:isLgl/>
      <w:lvlText w:val="%1.%2"/>
      <w:lvlJc w:val="left"/>
      <w:pPr>
        <w:ind w:left="2987" w:hanging="576"/>
      </w:pPr>
      <w:rPr>
        <w:rFonts w:hint="default" w:ascii="Times New Roman" w:hAnsi="Times New Roman" w:eastAsia="仿宋"/>
        <w:b/>
        <w:i w:val="0"/>
        <w:sz w:val="28"/>
      </w:rPr>
    </w:lvl>
    <w:lvl w:ilvl="2" w:tentative="0">
      <w:start w:val="1"/>
      <w:numFmt w:val="decimal"/>
      <w:pStyle w:val="5"/>
      <w:isLgl/>
      <w:lvlText w:val="%1.%2.%3"/>
      <w:lvlJc w:val="left"/>
      <w:pPr>
        <w:ind w:left="8234" w:hanging="720"/>
      </w:pPr>
      <w:rPr>
        <w:rFonts w:hint="default" w:ascii="Times New Roman" w:hAnsi="Times New Roman" w:eastAsia="仿宋"/>
        <w:b/>
        <w:i w:val="0"/>
        <w:sz w:val="28"/>
      </w:rPr>
    </w:lvl>
    <w:lvl w:ilvl="3" w:tentative="0">
      <w:start w:val="1"/>
      <w:numFmt w:val="decimal"/>
      <w:lvlText w:val="%1.%2.%3.%4"/>
      <w:lvlJc w:val="left"/>
      <w:pPr>
        <w:ind w:left="1857"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567D13DA"/>
    <w:multiLevelType w:val="multilevel"/>
    <w:tmpl w:val="567D13DA"/>
    <w:lvl w:ilvl="0" w:tentative="0">
      <w:start w:val="1"/>
      <w:numFmt w:val="decimal"/>
      <w:pStyle w:val="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38091B"/>
    <w:multiLevelType w:val="singleLevel"/>
    <w:tmpl w:val="7A38091B"/>
    <w:lvl w:ilvl="0" w:tentative="0">
      <w:start w:val="2"/>
      <w:numFmt w:val="decimal"/>
      <w:suff w:val="space"/>
      <w:lvlText w:val="%1."/>
      <w:lvlJc w:val="left"/>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hideGrammaticalErrors/>
  <w:documentProtection w:enforcement="0"/>
  <w:defaultTabStop w:val="420"/>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0YTZjNzMwNzMxZWU1MmE3ZjkyZDcxZGJiY2Q4MTEifQ=="/>
  </w:docVars>
  <w:rsids>
    <w:rsidRoot w:val="00B01BB3"/>
    <w:rsid w:val="0000353F"/>
    <w:rsid w:val="00003606"/>
    <w:rsid w:val="00003A24"/>
    <w:rsid w:val="00003E4A"/>
    <w:rsid w:val="000046A6"/>
    <w:rsid w:val="00004ED5"/>
    <w:rsid w:val="00007CD2"/>
    <w:rsid w:val="00007D18"/>
    <w:rsid w:val="00010B75"/>
    <w:rsid w:val="00010FC3"/>
    <w:rsid w:val="00011306"/>
    <w:rsid w:val="00012777"/>
    <w:rsid w:val="0001378C"/>
    <w:rsid w:val="00013D76"/>
    <w:rsid w:val="000147E7"/>
    <w:rsid w:val="00014D63"/>
    <w:rsid w:val="00014EFD"/>
    <w:rsid w:val="00015174"/>
    <w:rsid w:val="00015345"/>
    <w:rsid w:val="00020502"/>
    <w:rsid w:val="00021E89"/>
    <w:rsid w:val="0002214D"/>
    <w:rsid w:val="000223A0"/>
    <w:rsid w:val="00023B35"/>
    <w:rsid w:val="00023D05"/>
    <w:rsid w:val="00024906"/>
    <w:rsid w:val="00024DFB"/>
    <w:rsid w:val="000250CE"/>
    <w:rsid w:val="00025D58"/>
    <w:rsid w:val="00027AF6"/>
    <w:rsid w:val="000308CF"/>
    <w:rsid w:val="00030ED0"/>
    <w:rsid w:val="000324DE"/>
    <w:rsid w:val="00033F98"/>
    <w:rsid w:val="00034376"/>
    <w:rsid w:val="00034A57"/>
    <w:rsid w:val="00035745"/>
    <w:rsid w:val="00035877"/>
    <w:rsid w:val="00036506"/>
    <w:rsid w:val="00036604"/>
    <w:rsid w:val="00037437"/>
    <w:rsid w:val="00040607"/>
    <w:rsid w:val="000407AE"/>
    <w:rsid w:val="000421E1"/>
    <w:rsid w:val="000425CF"/>
    <w:rsid w:val="000445C5"/>
    <w:rsid w:val="000469B7"/>
    <w:rsid w:val="00046BA6"/>
    <w:rsid w:val="00047D7E"/>
    <w:rsid w:val="00051602"/>
    <w:rsid w:val="00051FBA"/>
    <w:rsid w:val="0005228E"/>
    <w:rsid w:val="00052F04"/>
    <w:rsid w:val="000530CF"/>
    <w:rsid w:val="000532FE"/>
    <w:rsid w:val="00053C25"/>
    <w:rsid w:val="00054A90"/>
    <w:rsid w:val="00055005"/>
    <w:rsid w:val="0005617F"/>
    <w:rsid w:val="00057632"/>
    <w:rsid w:val="00057BD1"/>
    <w:rsid w:val="00057D89"/>
    <w:rsid w:val="000604C1"/>
    <w:rsid w:val="000607BC"/>
    <w:rsid w:val="00060A6B"/>
    <w:rsid w:val="00060D6F"/>
    <w:rsid w:val="00062051"/>
    <w:rsid w:val="00063352"/>
    <w:rsid w:val="0006369A"/>
    <w:rsid w:val="00063AAD"/>
    <w:rsid w:val="00063C6F"/>
    <w:rsid w:val="0006417F"/>
    <w:rsid w:val="00064C57"/>
    <w:rsid w:val="00065D12"/>
    <w:rsid w:val="00066250"/>
    <w:rsid w:val="000704DA"/>
    <w:rsid w:val="00070A94"/>
    <w:rsid w:val="00071485"/>
    <w:rsid w:val="00071924"/>
    <w:rsid w:val="000720D5"/>
    <w:rsid w:val="00072548"/>
    <w:rsid w:val="00072CF9"/>
    <w:rsid w:val="00073332"/>
    <w:rsid w:val="00073430"/>
    <w:rsid w:val="0007452E"/>
    <w:rsid w:val="00074961"/>
    <w:rsid w:val="00075855"/>
    <w:rsid w:val="0007656B"/>
    <w:rsid w:val="00076D56"/>
    <w:rsid w:val="00077F44"/>
    <w:rsid w:val="000812F9"/>
    <w:rsid w:val="00081BD0"/>
    <w:rsid w:val="00082B35"/>
    <w:rsid w:val="00083059"/>
    <w:rsid w:val="0008410B"/>
    <w:rsid w:val="0008478C"/>
    <w:rsid w:val="00085D89"/>
    <w:rsid w:val="0008764A"/>
    <w:rsid w:val="00087820"/>
    <w:rsid w:val="00090EE1"/>
    <w:rsid w:val="000913D0"/>
    <w:rsid w:val="000918D9"/>
    <w:rsid w:val="00092140"/>
    <w:rsid w:val="00092B3D"/>
    <w:rsid w:val="000947C6"/>
    <w:rsid w:val="000951AD"/>
    <w:rsid w:val="0009674B"/>
    <w:rsid w:val="000967E3"/>
    <w:rsid w:val="00097D37"/>
    <w:rsid w:val="00097DF5"/>
    <w:rsid w:val="000A089E"/>
    <w:rsid w:val="000A1E0C"/>
    <w:rsid w:val="000A3F22"/>
    <w:rsid w:val="000A4224"/>
    <w:rsid w:val="000A4442"/>
    <w:rsid w:val="000A45C9"/>
    <w:rsid w:val="000A59A9"/>
    <w:rsid w:val="000A5E40"/>
    <w:rsid w:val="000A600B"/>
    <w:rsid w:val="000A6014"/>
    <w:rsid w:val="000A6645"/>
    <w:rsid w:val="000A6FF7"/>
    <w:rsid w:val="000A7129"/>
    <w:rsid w:val="000A7446"/>
    <w:rsid w:val="000A7F81"/>
    <w:rsid w:val="000A7FB6"/>
    <w:rsid w:val="000B1925"/>
    <w:rsid w:val="000B3DAE"/>
    <w:rsid w:val="000B4120"/>
    <w:rsid w:val="000B58C5"/>
    <w:rsid w:val="000B74C8"/>
    <w:rsid w:val="000B7FDB"/>
    <w:rsid w:val="000C0808"/>
    <w:rsid w:val="000C0858"/>
    <w:rsid w:val="000C3614"/>
    <w:rsid w:val="000C39C5"/>
    <w:rsid w:val="000C441A"/>
    <w:rsid w:val="000C4E6E"/>
    <w:rsid w:val="000C6BA7"/>
    <w:rsid w:val="000C78DC"/>
    <w:rsid w:val="000D10B9"/>
    <w:rsid w:val="000D3D63"/>
    <w:rsid w:val="000D4490"/>
    <w:rsid w:val="000D473E"/>
    <w:rsid w:val="000D6370"/>
    <w:rsid w:val="000E036E"/>
    <w:rsid w:val="000E0443"/>
    <w:rsid w:val="000E0BDD"/>
    <w:rsid w:val="000E0D3F"/>
    <w:rsid w:val="000E4E2D"/>
    <w:rsid w:val="000E5139"/>
    <w:rsid w:val="000E53CA"/>
    <w:rsid w:val="000E5590"/>
    <w:rsid w:val="000E7781"/>
    <w:rsid w:val="000E7854"/>
    <w:rsid w:val="000F03D8"/>
    <w:rsid w:val="000F040C"/>
    <w:rsid w:val="000F0522"/>
    <w:rsid w:val="000F0B91"/>
    <w:rsid w:val="000F2F2E"/>
    <w:rsid w:val="000F3CAE"/>
    <w:rsid w:val="000F4964"/>
    <w:rsid w:val="000F6356"/>
    <w:rsid w:val="000F6E41"/>
    <w:rsid w:val="00101441"/>
    <w:rsid w:val="00102589"/>
    <w:rsid w:val="001027BC"/>
    <w:rsid w:val="00104AF0"/>
    <w:rsid w:val="00106072"/>
    <w:rsid w:val="001069DC"/>
    <w:rsid w:val="00106C77"/>
    <w:rsid w:val="001100D6"/>
    <w:rsid w:val="001104CC"/>
    <w:rsid w:val="0011082C"/>
    <w:rsid w:val="00111F6D"/>
    <w:rsid w:val="001126DF"/>
    <w:rsid w:val="00113A04"/>
    <w:rsid w:val="00115E5B"/>
    <w:rsid w:val="001166AE"/>
    <w:rsid w:val="00117E6A"/>
    <w:rsid w:val="0012081D"/>
    <w:rsid w:val="00120D9B"/>
    <w:rsid w:val="001210DF"/>
    <w:rsid w:val="00122012"/>
    <w:rsid w:val="001221A4"/>
    <w:rsid w:val="001227EF"/>
    <w:rsid w:val="00122BD0"/>
    <w:rsid w:val="00122BE5"/>
    <w:rsid w:val="00122D6C"/>
    <w:rsid w:val="00123245"/>
    <w:rsid w:val="0012362B"/>
    <w:rsid w:val="00123D0E"/>
    <w:rsid w:val="00124971"/>
    <w:rsid w:val="00125129"/>
    <w:rsid w:val="00125166"/>
    <w:rsid w:val="001261B8"/>
    <w:rsid w:val="001267F4"/>
    <w:rsid w:val="00126C7D"/>
    <w:rsid w:val="0013035F"/>
    <w:rsid w:val="00130850"/>
    <w:rsid w:val="00130B5F"/>
    <w:rsid w:val="00131FB0"/>
    <w:rsid w:val="0013387D"/>
    <w:rsid w:val="00135524"/>
    <w:rsid w:val="001376CC"/>
    <w:rsid w:val="00137D4F"/>
    <w:rsid w:val="00143FFC"/>
    <w:rsid w:val="00144537"/>
    <w:rsid w:val="0014466B"/>
    <w:rsid w:val="001471F2"/>
    <w:rsid w:val="001505A6"/>
    <w:rsid w:val="00151572"/>
    <w:rsid w:val="0015193D"/>
    <w:rsid w:val="00152EC9"/>
    <w:rsid w:val="00154157"/>
    <w:rsid w:val="001544E7"/>
    <w:rsid w:val="00154768"/>
    <w:rsid w:val="00154F24"/>
    <w:rsid w:val="00155044"/>
    <w:rsid w:val="00155B7F"/>
    <w:rsid w:val="0015786F"/>
    <w:rsid w:val="00157D7C"/>
    <w:rsid w:val="0016007B"/>
    <w:rsid w:val="001617B2"/>
    <w:rsid w:val="00162127"/>
    <w:rsid w:val="001629CC"/>
    <w:rsid w:val="00163AE5"/>
    <w:rsid w:val="00163B2F"/>
    <w:rsid w:val="00163F4A"/>
    <w:rsid w:val="001644C2"/>
    <w:rsid w:val="00164FD3"/>
    <w:rsid w:val="001665B9"/>
    <w:rsid w:val="00166D0E"/>
    <w:rsid w:val="001672D9"/>
    <w:rsid w:val="00167441"/>
    <w:rsid w:val="00167B54"/>
    <w:rsid w:val="00167C91"/>
    <w:rsid w:val="001700E2"/>
    <w:rsid w:val="0017012A"/>
    <w:rsid w:val="001701FD"/>
    <w:rsid w:val="001705CD"/>
    <w:rsid w:val="00171C5F"/>
    <w:rsid w:val="001745CC"/>
    <w:rsid w:val="001775BA"/>
    <w:rsid w:val="001776E9"/>
    <w:rsid w:val="00177BD7"/>
    <w:rsid w:val="00180660"/>
    <w:rsid w:val="00180847"/>
    <w:rsid w:val="00180B9C"/>
    <w:rsid w:val="00181DAB"/>
    <w:rsid w:val="00182AFE"/>
    <w:rsid w:val="00183A1F"/>
    <w:rsid w:val="00184380"/>
    <w:rsid w:val="00185612"/>
    <w:rsid w:val="00185B80"/>
    <w:rsid w:val="001861C2"/>
    <w:rsid w:val="00186D8B"/>
    <w:rsid w:val="00187CD1"/>
    <w:rsid w:val="0019007D"/>
    <w:rsid w:val="001902EF"/>
    <w:rsid w:val="00191DF3"/>
    <w:rsid w:val="00192F8E"/>
    <w:rsid w:val="0019329D"/>
    <w:rsid w:val="00193355"/>
    <w:rsid w:val="00194423"/>
    <w:rsid w:val="001966D2"/>
    <w:rsid w:val="00196AE1"/>
    <w:rsid w:val="00196C10"/>
    <w:rsid w:val="00197197"/>
    <w:rsid w:val="001976A5"/>
    <w:rsid w:val="001A0FB3"/>
    <w:rsid w:val="001A1397"/>
    <w:rsid w:val="001A142A"/>
    <w:rsid w:val="001A16CC"/>
    <w:rsid w:val="001A18FD"/>
    <w:rsid w:val="001A28A3"/>
    <w:rsid w:val="001A3A24"/>
    <w:rsid w:val="001A3FDC"/>
    <w:rsid w:val="001A43A4"/>
    <w:rsid w:val="001A44EE"/>
    <w:rsid w:val="001A50CA"/>
    <w:rsid w:val="001A55A6"/>
    <w:rsid w:val="001A60C3"/>
    <w:rsid w:val="001A6BDE"/>
    <w:rsid w:val="001A7A59"/>
    <w:rsid w:val="001B14F3"/>
    <w:rsid w:val="001B3020"/>
    <w:rsid w:val="001B4DD8"/>
    <w:rsid w:val="001B5B60"/>
    <w:rsid w:val="001B68E5"/>
    <w:rsid w:val="001B6E9F"/>
    <w:rsid w:val="001B7251"/>
    <w:rsid w:val="001B75F0"/>
    <w:rsid w:val="001B79EF"/>
    <w:rsid w:val="001C173A"/>
    <w:rsid w:val="001C1E42"/>
    <w:rsid w:val="001C21BC"/>
    <w:rsid w:val="001C2C69"/>
    <w:rsid w:val="001C3257"/>
    <w:rsid w:val="001C4659"/>
    <w:rsid w:val="001C4FAE"/>
    <w:rsid w:val="001C5761"/>
    <w:rsid w:val="001C5835"/>
    <w:rsid w:val="001C6BDB"/>
    <w:rsid w:val="001C7072"/>
    <w:rsid w:val="001C71B8"/>
    <w:rsid w:val="001C7B21"/>
    <w:rsid w:val="001C7D27"/>
    <w:rsid w:val="001C7DAC"/>
    <w:rsid w:val="001D14AB"/>
    <w:rsid w:val="001D22C7"/>
    <w:rsid w:val="001D2C31"/>
    <w:rsid w:val="001D2F3E"/>
    <w:rsid w:val="001D33C4"/>
    <w:rsid w:val="001D3879"/>
    <w:rsid w:val="001D46FF"/>
    <w:rsid w:val="001D66DD"/>
    <w:rsid w:val="001D7A9A"/>
    <w:rsid w:val="001D7EFB"/>
    <w:rsid w:val="001E0060"/>
    <w:rsid w:val="001E0BD3"/>
    <w:rsid w:val="001E0DDF"/>
    <w:rsid w:val="001E1591"/>
    <w:rsid w:val="001E3D7E"/>
    <w:rsid w:val="001E6E6A"/>
    <w:rsid w:val="001E7540"/>
    <w:rsid w:val="001E7DF8"/>
    <w:rsid w:val="001F05F7"/>
    <w:rsid w:val="001F0A5D"/>
    <w:rsid w:val="001F11B1"/>
    <w:rsid w:val="001F2FAC"/>
    <w:rsid w:val="001F3841"/>
    <w:rsid w:val="001F3A26"/>
    <w:rsid w:val="001F5219"/>
    <w:rsid w:val="00201C75"/>
    <w:rsid w:val="002027BF"/>
    <w:rsid w:val="00204068"/>
    <w:rsid w:val="0020605F"/>
    <w:rsid w:val="002063AB"/>
    <w:rsid w:val="00206590"/>
    <w:rsid w:val="00206B93"/>
    <w:rsid w:val="0021085B"/>
    <w:rsid w:val="002111D2"/>
    <w:rsid w:val="00212293"/>
    <w:rsid w:val="00212A30"/>
    <w:rsid w:val="00214DEA"/>
    <w:rsid w:val="00216CEA"/>
    <w:rsid w:val="00217544"/>
    <w:rsid w:val="00217BE1"/>
    <w:rsid w:val="00217E3B"/>
    <w:rsid w:val="00220089"/>
    <w:rsid w:val="00220DD3"/>
    <w:rsid w:val="0022156C"/>
    <w:rsid w:val="00221A02"/>
    <w:rsid w:val="002239CD"/>
    <w:rsid w:val="00225444"/>
    <w:rsid w:val="00226592"/>
    <w:rsid w:val="00230315"/>
    <w:rsid w:val="00231C03"/>
    <w:rsid w:val="0023304D"/>
    <w:rsid w:val="002333C1"/>
    <w:rsid w:val="00233716"/>
    <w:rsid w:val="00233943"/>
    <w:rsid w:val="00233DF7"/>
    <w:rsid w:val="00233F2E"/>
    <w:rsid w:val="0023490D"/>
    <w:rsid w:val="0023721A"/>
    <w:rsid w:val="002408AD"/>
    <w:rsid w:val="002408C3"/>
    <w:rsid w:val="00240AF0"/>
    <w:rsid w:val="00241800"/>
    <w:rsid w:val="00241B53"/>
    <w:rsid w:val="00241B97"/>
    <w:rsid w:val="00242514"/>
    <w:rsid w:val="00242D1E"/>
    <w:rsid w:val="0024354C"/>
    <w:rsid w:val="002458DD"/>
    <w:rsid w:val="002466E4"/>
    <w:rsid w:val="00246BBC"/>
    <w:rsid w:val="002475F7"/>
    <w:rsid w:val="00250BC6"/>
    <w:rsid w:val="00251F09"/>
    <w:rsid w:val="002535BB"/>
    <w:rsid w:val="00253671"/>
    <w:rsid w:val="00256BC1"/>
    <w:rsid w:val="00256E3B"/>
    <w:rsid w:val="00257108"/>
    <w:rsid w:val="0026001B"/>
    <w:rsid w:val="00260433"/>
    <w:rsid w:val="002618A9"/>
    <w:rsid w:val="0026370A"/>
    <w:rsid w:val="00263DEC"/>
    <w:rsid w:val="00263F7A"/>
    <w:rsid w:val="00264836"/>
    <w:rsid w:val="00264AF5"/>
    <w:rsid w:val="002654E3"/>
    <w:rsid w:val="002655DB"/>
    <w:rsid w:val="00266169"/>
    <w:rsid w:val="002663DC"/>
    <w:rsid w:val="00266569"/>
    <w:rsid w:val="00266ADE"/>
    <w:rsid w:val="00267BC9"/>
    <w:rsid w:val="002700B5"/>
    <w:rsid w:val="0027245B"/>
    <w:rsid w:val="00272F59"/>
    <w:rsid w:val="00273759"/>
    <w:rsid w:val="00273909"/>
    <w:rsid w:val="00275E26"/>
    <w:rsid w:val="00276097"/>
    <w:rsid w:val="00276BD4"/>
    <w:rsid w:val="00277843"/>
    <w:rsid w:val="002812B3"/>
    <w:rsid w:val="00281631"/>
    <w:rsid w:val="002831D8"/>
    <w:rsid w:val="0028341A"/>
    <w:rsid w:val="002849B4"/>
    <w:rsid w:val="00285840"/>
    <w:rsid w:val="002870EC"/>
    <w:rsid w:val="00287708"/>
    <w:rsid w:val="00287D6E"/>
    <w:rsid w:val="00291692"/>
    <w:rsid w:val="0029174E"/>
    <w:rsid w:val="00291C0F"/>
    <w:rsid w:val="00293051"/>
    <w:rsid w:val="002934C1"/>
    <w:rsid w:val="00294400"/>
    <w:rsid w:val="0029464E"/>
    <w:rsid w:val="00297C74"/>
    <w:rsid w:val="002A01D5"/>
    <w:rsid w:val="002A032F"/>
    <w:rsid w:val="002A0767"/>
    <w:rsid w:val="002A12C0"/>
    <w:rsid w:val="002A15BF"/>
    <w:rsid w:val="002A22C2"/>
    <w:rsid w:val="002A23D3"/>
    <w:rsid w:val="002A2C23"/>
    <w:rsid w:val="002A2E35"/>
    <w:rsid w:val="002A33D9"/>
    <w:rsid w:val="002A3828"/>
    <w:rsid w:val="002A3C2C"/>
    <w:rsid w:val="002A4520"/>
    <w:rsid w:val="002A6AE0"/>
    <w:rsid w:val="002A6D08"/>
    <w:rsid w:val="002A71FE"/>
    <w:rsid w:val="002B0CEB"/>
    <w:rsid w:val="002B0EE6"/>
    <w:rsid w:val="002B1510"/>
    <w:rsid w:val="002B2078"/>
    <w:rsid w:val="002B36A0"/>
    <w:rsid w:val="002B487B"/>
    <w:rsid w:val="002B53B9"/>
    <w:rsid w:val="002B5443"/>
    <w:rsid w:val="002B6B1A"/>
    <w:rsid w:val="002B7146"/>
    <w:rsid w:val="002B7371"/>
    <w:rsid w:val="002B7CFD"/>
    <w:rsid w:val="002C03E8"/>
    <w:rsid w:val="002C0FEF"/>
    <w:rsid w:val="002C1924"/>
    <w:rsid w:val="002C1E7E"/>
    <w:rsid w:val="002C26E6"/>
    <w:rsid w:val="002C2D59"/>
    <w:rsid w:val="002C39DB"/>
    <w:rsid w:val="002C478C"/>
    <w:rsid w:val="002C531A"/>
    <w:rsid w:val="002C53AF"/>
    <w:rsid w:val="002C550D"/>
    <w:rsid w:val="002C5FE4"/>
    <w:rsid w:val="002C6232"/>
    <w:rsid w:val="002C6A34"/>
    <w:rsid w:val="002C6D1E"/>
    <w:rsid w:val="002C7281"/>
    <w:rsid w:val="002D1F57"/>
    <w:rsid w:val="002D3754"/>
    <w:rsid w:val="002D51D2"/>
    <w:rsid w:val="002D5A4C"/>
    <w:rsid w:val="002D7B82"/>
    <w:rsid w:val="002E0411"/>
    <w:rsid w:val="002E08F6"/>
    <w:rsid w:val="002E0AD2"/>
    <w:rsid w:val="002E0C80"/>
    <w:rsid w:val="002E38AE"/>
    <w:rsid w:val="002E4491"/>
    <w:rsid w:val="002E5ECC"/>
    <w:rsid w:val="002E60EB"/>
    <w:rsid w:val="002E692D"/>
    <w:rsid w:val="002E74C6"/>
    <w:rsid w:val="002F10DC"/>
    <w:rsid w:val="002F1D3F"/>
    <w:rsid w:val="002F22C5"/>
    <w:rsid w:val="002F2EDD"/>
    <w:rsid w:val="002F72F1"/>
    <w:rsid w:val="002F7A3E"/>
    <w:rsid w:val="003003AF"/>
    <w:rsid w:val="0030041B"/>
    <w:rsid w:val="00300707"/>
    <w:rsid w:val="003010C6"/>
    <w:rsid w:val="00301490"/>
    <w:rsid w:val="00302218"/>
    <w:rsid w:val="00302BE1"/>
    <w:rsid w:val="00302BE7"/>
    <w:rsid w:val="0030318C"/>
    <w:rsid w:val="00303B32"/>
    <w:rsid w:val="003043E9"/>
    <w:rsid w:val="003051D6"/>
    <w:rsid w:val="003051F3"/>
    <w:rsid w:val="003055D9"/>
    <w:rsid w:val="00305D5D"/>
    <w:rsid w:val="00306A3E"/>
    <w:rsid w:val="00306BAB"/>
    <w:rsid w:val="00307632"/>
    <w:rsid w:val="00307A97"/>
    <w:rsid w:val="003102C8"/>
    <w:rsid w:val="00312126"/>
    <w:rsid w:val="00312AAA"/>
    <w:rsid w:val="00313842"/>
    <w:rsid w:val="00314FDC"/>
    <w:rsid w:val="003154A5"/>
    <w:rsid w:val="0031562A"/>
    <w:rsid w:val="003161DC"/>
    <w:rsid w:val="00316B23"/>
    <w:rsid w:val="00316C58"/>
    <w:rsid w:val="00317619"/>
    <w:rsid w:val="003178DB"/>
    <w:rsid w:val="00317D60"/>
    <w:rsid w:val="00320390"/>
    <w:rsid w:val="0032069E"/>
    <w:rsid w:val="00320B26"/>
    <w:rsid w:val="00320BDA"/>
    <w:rsid w:val="00320E91"/>
    <w:rsid w:val="00320EE5"/>
    <w:rsid w:val="00321705"/>
    <w:rsid w:val="003225A6"/>
    <w:rsid w:val="00322C70"/>
    <w:rsid w:val="00322E65"/>
    <w:rsid w:val="00322F8C"/>
    <w:rsid w:val="00323026"/>
    <w:rsid w:val="00323052"/>
    <w:rsid w:val="00324B10"/>
    <w:rsid w:val="00324F6D"/>
    <w:rsid w:val="00326109"/>
    <w:rsid w:val="003261FB"/>
    <w:rsid w:val="00326474"/>
    <w:rsid w:val="0032655C"/>
    <w:rsid w:val="00327644"/>
    <w:rsid w:val="00327813"/>
    <w:rsid w:val="00330C31"/>
    <w:rsid w:val="00330FAB"/>
    <w:rsid w:val="003317BD"/>
    <w:rsid w:val="00332513"/>
    <w:rsid w:val="003328E9"/>
    <w:rsid w:val="00332C14"/>
    <w:rsid w:val="00334409"/>
    <w:rsid w:val="0033551F"/>
    <w:rsid w:val="0033626A"/>
    <w:rsid w:val="003369D3"/>
    <w:rsid w:val="00337AE9"/>
    <w:rsid w:val="00337B5A"/>
    <w:rsid w:val="0034148A"/>
    <w:rsid w:val="00341822"/>
    <w:rsid w:val="003418E2"/>
    <w:rsid w:val="00342AE3"/>
    <w:rsid w:val="00343170"/>
    <w:rsid w:val="00343CBB"/>
    <w:rsid w:val="00344714"/>
    <w:rsid w:val="003448E5"/>
    <w:rsid w:val="00345DDB"/>
    <w:rsid w:val="00346326"/>
    <w:rsid w:val="00347481"/>
    <w:rsid w:val="003479BA"/>
    <w:rsid w:val="00347DB2"/>
    <w:rsid w:val="003507B0"/>
    <w:rsid w:val="00351366"/>
    <w:rsid w:val="00351428"/>
    <w:rsid w:val="003515B4"/>
    <w:rsid w:val="00352003"/>
    <w:rsid w:val="00352247"/>
    <w:rsid w:val="00352B06"/>
    <w:rsid w:val="003535A1"/>
    <w:rsid w:val="00354A5A"/>
    <w:rsid w:val="00356406"/>
    <w:rsid w:val="003573E1"/>
    <w:rsid w:val="0035763B"/>
    <w:rsid w:val="00360F3E"/>
    <w:rsid w:val="00361518"/>
    <w:rsid w:val="00361A84"/>
    <w:rsid w:val="00362045"/>
    <w:rsid w:val="00362ADB"/>
    <w:rsid w:val="00363386"/>
    <w:rsid w:val="0036415E"/>
    <w:rsid w:val="003650D9"/>
    <w:rsid w:val="00365819"/>
    <w:rsid w:val="00370512"/>
    <w:rsid w:val="00370AD2"/>
    <w:rsid w:val="00370E7E"/>
    <w:rsid w:val="00371BBB"/>
    <w:rsid w:val="003723DC"/>
    <w:rsid w:val="0037309E"/>
    <w:rsid w:val="00373751"/>
    <w:rsid w:val="003751F5"/>
    <w:rsid w:val="003753D5"/>
    <w:rsid w:val="003769CA"/>
    <w:rsid w:val="00376EFF"/>
    <w:rsid w:val="003803E4"/>
    <w:rsid w:val="00380E96"/>
    <w:rsid w:val="0038165D"/>
    <w:rsid w:val="00382E1E"/>
    <w:rsid w:val="00384F86"/>
    <w:rsid w:val="00385C76"/>
    <w:rsid w:val="00385D78"/>
    <w:rsid w:val="00386047"/>
    <w:rsid w:val="003860B7"/>
    <w:rsid w:val="00387006"/>
    <w:rsid w:val="0038705D"/>
    <w:rsid w:val="00390711"/>
    <w:rsid w:val="00390CA3"/>
    <w:rsid w:val="00391380"/>
    <w:rsid w:val="00391A1D"/>
    <w:rsid w:val="00391A79"/>
    <w:rsid w:val="00392877"/>
    <w:rsid w:val="003931AF"/>
    <w:rsid w:val="003940FB"/>
    <w:rsid w:val="00394556"/>
    <w:rsid w:val="003951FB"/>
    <w:rsid w:val="00396646"/>
    <w:rsid w:val="00397D20"/>
    <w:rsid w:val="003A10A4"/>
    <w:rsid w:val="003A1704"/>
    <w:rsid w:val="003A23DA"/>
    <w:rsid w:val="003A26D2"/>
    <w:rsid w:val="003A287C"/>
    <w:rsid w:val="003A2913"/>
    <w:rsid w:val="003A5F93"/>
    <w:rsid w:val="003A6A7F"/>
    <w:rsid w:val="003A6E9C"/>
    <w:rsid w:val="003A6F2C"/>
    <w:rsid w:val="003A7161"/>
    <w:rsid w:val="003A71D6"/>
    <w:rsid w:val="003A771C"/>
    <w:rsid w:val="003A7B08"/>
    <w:rsid w:val="003A7F6B"/>
    <w:rsid w:val="003B09AB"/>
    <w:rsid w:val="003B14FD"/>
    <w:rsid w:val="003B29A3"/>
    <w:rsid w:val="003B2B72"/>
    <w:rsid w:val="003B53B1"/>
    <w:rsid w:val="003B6FDA"/>
    <w:rsid w:val="003B7E6E"/>
    <w:rsid w:val="003C01D2"/>
    <w:rsid w:val="003C0E57"/>
    <w:rsid w:val="003C20CB"/>
    <w:rsid w:val="003C2705"/>
    <w:rsid w:val="003C2B58"/>
    <w:rsid w:val="003C3001"/>
    <w:rsid w:val="003C513C"/>
    <w:rsid w:val="003C5A03"/>
    <w:rsid w:val="003C5DCE"/>
    <w:rsid w:val="003C5F13"/>
    <w:rsid w:val="003C67BD"/>
    <w:rsid w:val="003C6C51"/>
    <w:rsid w:val="003C6E22"/>
    <w:rsid w:val="003C729D"/>
    <w:rsid w:val="003C7E3E"/>
    <w:rsid w:val="003D0AFD"/>
    <w:rsid w:val="003D10DC"/>
    <w:rsid w:val="003D1C5A"/>
    <w:rsid w:val="003D28D4"/>
    <w:rsid w:val="003D371C"/>
    <w:rsid w:val="003D3FAA"/>
    <w:rsid w:val="003D4663"/>
    <w:rsid w:val="003D46B8"/>
    <w:rsid w:val="003D591A"/>
    <w:rsid w:val="003D5B52"/>
    <w:rsid w:val="003D5CC9"/>
    <w:rsid w:val="003D635E"/>
    <w:rsid w:val="003D640F"/>
    <w:rsid w:val="003E0404"/>
    <w:rsid w:val="003E1021"/>
    <w:rsid w:val="003E147B"/>
    <w:rsid w:val="003E256D"/>
    <w:rsid w:val="003E2897"/>
    <w:rsid w:val="003E33F4"/>
    <w:rsid w:val="003E342B"/>
    <w:rsid w:val="003E44DB"/>
    <w:rsid w:val="003E487F"/>
    <w:rsid w:val="003E4A33"/>
    <w:rsid w:val="003E4B15"/>
    <w:rsid w:val="003E57E9"/>
    <w:rsid w:val="003E5906"/>
    <w:rsid w:val="003E5E16"/>
    <w:rsid w:val="003E6131"/>
    <w:rsid w:val="003E7F53"/>
    <w:rsid w:val="003F0123"/>
    <w:rsid w:val="003F0E5F"/>
    <w:rsid w:val="003F1730"/>
    <w:rsid w:val="003F3F1A"/>
    <w:rsid w:val="003F4D11"/>
    <w:rsid w:val="003F5F2A"/>
    <w:rsid w:val="003F740C"/>
    <w:rsid w:val="003F74C8"/>
    <w:rsid w:val="004001E0"/>
    <w:rsid w:val="00401359"/>
    <w:rsid w:val="0040253B"/>
    <w:rsid w:val="00402F85"/>
    <w:rsid w:val="0040319C"/>
    <w:rsid w:val="004032BB"/>
    <w:rsid w:val="0040373B"/>
    <w:rsid w:val="00403752"/>
    <w:rsid w:val="00403C9B"/>
    <w:rsid w:val="00403DBC"/>
    <w:rsid w:val="0040621F"/>
    <w:rsid w:val="0040679D"/>
    <w:rsid w:val="00406EBC"/>
    <w:rsid w:val="004078BF"/>
    <w:rsid w:val="00407C52"/>
    <w:rsid w:val="00411CA3"/>
    <w:rsid w:val="00411DA1"/>
    <w:rsid w:val="004121F7"/>
    <w:rsid w:val="00412BEA"/>
    <w:rsid w:val="004137EC"/>
    <w:rsid w:val="00413B17"/>
    <w:rsid w:val="00413BCC"/>
    <w:rsid w:val="004168E9"/>
    <w:rsid w:val="00416D21"/>
    <w:rsid w:val="0041737A"/>
    <w:rsid w:val="004176DF"/>
    <w:rsid w:val="00421385"/>
    <w:rsid w:val="0042176F"/>
    <w:rsid w:val="00422347"/>
    <w:rsid w:val="00422C4D"/>
    <w:rsid w:val="00422E7E"/>
    <w:rsid w:val="00423A13"/>
    <w:rsid w:val="00424E78"/>
    <w:rsid w:val="00426416"/>
    <w:rsid w:val="004266E3"/>
    <w:rsid w:val="00426755"/>
    <w:rsid w:val="004269A2"/>
    <w:rsid w:val="00427575"/>
    <w:rsid w:val="004301E9"/>
    <w:rsid w:val="00430708"/>
    <w:rsid w:val="00430C49"/>
    <w:rsid w:val="004311A5"/>
    <w:rsid w:val="004311C9"/>
    <w:rsid w:val="00431844"/>
    <w:rsid w:val="00431BB2"/>
    <w:rsid w:val="00431DB6"/>
    <w:rsid w:val="004328D5"/>
    <w:rsid w:val="00433736"/>
    <w:rsid w:val="004339CF"/>
    <w:rsid w:val="00434A5D"/>
    <w:rsid w:val="00435124"/>
    <w:rsid w:val="0043544E"/>
    <w:rsid w:val="004362BC"/>
    <w:rsid w:val="00436360"/>
    <w:rsid w:val="0043694C"/>
    <w:rsid w:val="004409CA"/>
    <w:rsid w:val="00440F4C"/>
    <w:rsid w:val="00441049"/>
    <w:rsid w:val="00441AC9"/>
    <w:rsid w:val="004425DA"/>
    <w:rsid w:val="00443567"/>
    <w:rsid w:val="004437F5"/>
    <w:rsid w:val="0044691B"/>
    <w:rsid w:val="00446D4B"/>
    <w:rsid w:val="0045052C"/>
    <w:rsid w:val="00452810"/>
    <w:rsid w:val="00453D51"/>
    <w:rsid w:val="00454F08"/>
    <w:rsid w:val="00455881"/>
    <w:rsid w:val="0045614B"/>
    <w:rsid w:val="004565EF"/>
    <w:rsid w:val="00456BDD"/>
    <w:rsid w:val="004602A6"/>
    <w:rsid w:val="00460669"/>
    <w:rsid w:val="00461F84"/>
    <w:rsid w:val="00464500"/>
    <w:rsid w:val="0046450E"/>
    <w:rsid w:val="00464F58"/>
    <w:rsid w:val="00465EDE"/>
    <w:rsid w:val="004702EC"/>
    <w:rsid w:val="0047127C"/>
    <w:rsid w:val="00471D30"/>
    <w:rsid w:val="004720E5"/>
    <w:rsid w:val="00472ACD"/>
    <w:rsid w:val="00472E5A"/>
    <w:rsid w:val="004732A7"/>
    <w:rsid w:val="004739CE"/>
    <w:rsid w:val="00473C5C"/>
    <w:rsid w:val="00474DF3"/>
    <w:rsid w:val="00474DF6"/>
    <w:rsid w:val="00474F4E"/>
    <w:rsid w:val="004758E5"/>
    <w:rsid w:val="00477254"/>
    <w:rsid w:val="0048055B"/>
    <w:rsid w:val="004820BD"/>
    <w:rsid w:val="004822D9"/>
    <w:rsid w:val="00484654"/>
    <w:rsid w:val="00485007"/>
    <w:rsid w:val="00485172"/>
    <w:rsid w:val="00485C0B"/>
    <w:rsid w:val="0048628B"/>
    <w:rsid w:val="00486E5D"/>
    <w:rsid w:val="00486FB5"/>
    <w:rsid w:val="00487347"/>
    <w:rsid w:val="00490846"/>
    <w:rsid w:val="00490B90"/>
    <w:rsid w:val="004912C2"/>
    <w:rsid w:val="004920E7"/>
    <w:rsid w:val="004920F2"/>
    <w:rsid w:val="00492137"/>
    <w:rsid w:val="00492678"/>
    <w:rsid w:val="0049297C"/>
    <w:rsid w:val="00492FFC"/>
    <w:rsid w:val="004936FA"/>
    <w:rsid w:val="00495E0B"/>
    <w:rsid w:val="00496EB8"/>
    <w:rsid w:val="00497044"/>
    <w:rsid w:val="00497994"/>
    <w:rsid w:val="00497DC4"/>
    <w:rsid w:val="00497EC6"/>
    <w:rsid w:val="004A23BD"/>
    <w:rsid w:val="004A35F8"/>
    <w:rsid w:val="004A3E70"/>
    <w:rsid w:val="004A4122"/>
    <w:rsid w:val="004A595B"/>
    <w:rsid w:val="004A5C4C"/>
    <w:rsid w:val="004A7FC0"/>
    <w:rsid w:val="004B0E68"/>
    <w:rsid w:val="004B1E5E"/>
    <w:rsid w:val="004B1FD2"/>
    <w:rsid w:val="004B227A"/>
    <w:rsid w:val="004B22B9"/>
    <w:rsid w:val="004B2720"/>
    <w:rsid w:val="004B28FF"/>
    <w:rsid w:val="004B2AFB"/>
    <w:rsid w:val="004B381F"/>
    <w:rsid w:val="004B3CDC"/>
    <w:rsid w:val="004B438F"/>
    <w:rsid w:val="004B45C1"/>
    <w:rsid w:val="004B4A64"/>
    <w:rsid w:val="004B4E30"/>
    <w:rsid w:val="004B539F"/>
    <w:rsid w:val="004B569E"/>
    <w:rsid w:val="004B6C5A"/>
    <w:rsid w:val="004C0376"/>
    <w:rsid w:val="004C0F2A"/>
    <w:rsid w:val="004C194D"/>
    <w:rsid w:val="004C1C1A"/>
    <w:rsid w:val="004C2570"/>
    <w:rsid w:val="004C2916"/>
    <w:rsid w:val="004C36A4"/>
    <w:rsid w:val="004C3F22"/>
    <w:rsid w:val="004C4114"/>
    <w:rsid w:val="004C4B47"/>
    <w:rsid w:val="004C620D"/>
    <w:rsid w:val="004C7D7D"/>
    <w:rsid w:val="004D31F2"/>
    <w:rsid w:val="004D3220"/>
    <w:rsid w:val="004D3E22"/>
    <w:rsid w:val="004D4753"/>
    <w:rsid w:val="004D5C48"/>
    <w:rsid w:val="004D636D"/>
    <w:rsid w:val="004D6586"/>
    <w:rsid w:val="004D6930"/>
    <w:rsid w:val="004D7573"/>
    <w:rsid w:val="004D76C7"/>
    <w:rsid w:val="004D7869"/>
    <w:rsid w:val="004D7B53"/>
    <w:rsid w:val="004D7F70"/>
    <w:rsid w:val="004E0585"/>
    <w:rsid w:val="004E0F7B"/>
    <w:rsid w:val="004E2BDF"/>
    <w:rsid w:val="004E3C46"/>
    <w:rsid w:val="004E4126"/>
    <w:rsid w:val="004E4451"/>
    <w:rsid w:val="004E492C"/>
    <w:rsid w:val="004E4A68"/>
    <w:rsid w:val="004E5840"/>
    <w:rsid w:val="004E6250"/>
    <w:rsid w:val="004E68C8"/>
    <w:rsid w:val="004E76CE"/>
    <w:rsid w:val="004E7C38"/>
    <w:rsid w:val="004F107C"/>
    <w:rsid w:val="004F18E8"/>
    <w:rsid w:val="004F24C0"/>
    <w:rsid w:val="004F2884"/>
    <w:rsid w:val="004F293C"/>
    <w:rsid w:val="004F3AC0"/>
    <w:rsid w:val="004F4941"/>
    <w:rsid w:val="004F59B6"/>
    <w:rsid w:val="004F5F73"/>
    <w:rsid w:val="004F64C9"/>
    <w:rsid w:val="004F65F4"/>
    <w:rsid w:val="004F71E3"/>
    <w:rsid w:val="00500541"/>
    <w:rsid w:val="00500C20"/>
    <w:rsid w:val="0050118E"/>
    <w:rsid w:val="00501A7C"/>
    <w:rsid w:val="00501E47"/>
    <w:rsid w:val="0050276A"/>
    <w:rsid w:val="00502BAF"/>
    <w:rsid w:val="00502D4D"/>
    <w:rsid w:val="005036D1"/>
    <w:rsid w:val="00503936"/>
    <w:rsid w:val="00503F9B"/>
    <w:rsid w:val="005047A2"/>
    <w:rsid w:val="005060DF"/>
    <w:rsid w:val="00506595"/>
    <w:rsid w:val="0050666B"/>
    <w:rsid w:val="00506E94"/>
    <w:rsid w:val="00507D5A"/>
    <w:rsid w:val="00512158"/>
    <w:rsid w:val="00512D31"/>
    <w:rsid w:val="0051381D"/>
    <w:rsid w:val="00513EA1"/>
    <w:rsid w:val="00513F25"/>
    <w:rsid w:val="005140A9"/>
    <w:rsid w:val="005144AF"/>
    <w:rsid w:val="00516E90"/>
    <w:rsid w:val="00517202"/>
    <w:rsid w:val="0051744E"/>
    <w:rsid w:val="005200E3"/>
    <w:rsid w:val="005209E0"/>
    <w:rsid w:val="00520AB0"/>
    <w:rsid w:val="00520D67"/>
    <w:rsid w:val="00521B0E"/>
    <w:rsid w:val="00521E2E"/>
    <w:rsid w:val="005227A2"/>
    <w:rsid w:val="00522B40"/>
    <w:rsid w:val="00522B6E"/>
    <w:rsid w:val="00525CB5"/>
    <w:rsid w:val="00527B54"/>
    <w:rsid w:val="005315B5"/>
    <w:rsid w:val="0053191D"/>
    <w:rsid w:val="00531AB1"/>
    <w:rsid w:val="005323CD"/>
    <w:rsid w:val="00533C7F"/>
    <w:rsid w:val="005343CD"/>
    <w:rsid w:val="0053455C"/>
    <w:rsid w:val="005353E9"/>
    <w:rsid w:val="00535B7A"/>
    <w:rsid w:val="005367B0"/>
    <w:rsid w:val="00536840"/>
    <w:rsid w:val="005375DE"/>
    <w:rsid w:val="00537AB8"/>
    <w:rsid w:val="00537F6F"/>
    <w:rsid w:val="00540CFA"/>
    <w:rsid w:val="0054273D"/>
    <w:rsid w:val="00542F9D"/>
    <w:rsid w:val="00543092"/>
    <w:rsid w:val="0054335A"/>
    <w:rsid w:val="00543571"/>
    <w:rsid w:val="005443BE"/>
    <w:rsid w:val="00544B17"/>
    <w:rsid w:val="00544B9F"/>
    <w:rsid w:val="00544FB3"/>
    <w:rsid w:val="00546D33"/>
    <w:rsid w:val="0054787C"/>
    <w:rsid w:val="005479DC"/>
    <w:rsid w:val="0055043D"/>
    <w:rsid w:val="005505E6"/>
    <w:rsid w:val="00550C83"/>
    <w:rsid w:val="005510C8"/>
    <w:rsid w:val="00553AE4"/>
    <w:rsid w:val="00555323"/>
    <w:rsid w:val="00555554"/>
    <w:rsid w:val="005576F0"/>
    <w:rsid w:val="00557898"/>
    <w:rsid w:val="00560C6B"/>
    <w:rsid w:val="005624C5"/>
    <w:rsid w:val="0056350B"/>
    <w:rsid w:val="00564693"/>
    <w:rsid w:val="0056472F"/>
    <w:rsid w:val="0056547B"/>
    <w:rsid w:val="005661C1"/>
    <w:rsid w:val="0056684C"/>
    <w:rsid w:val="00566DBA"/>
    <w:rsid w:val="005677D7"/>
    <w:rsid w:val="005705F1"/>
    <w:rsid w:val="00570F4D"/>
    <w:rsid w:val="005732E7"/>
    <w:rsid w:val="00575E72"/>
    <w:rsid w:val="0058059A"/>
    <w:rsid w:val="00580772"/>
    <w:rsid w:val="00581389"/>
    <w:rsid w:val="0058234F"/>
    <w:rsid w:val="00582901"/>
    <w:rsid w:val="005843DB"/>
    <w:rsid w:val="00584599"/>
    <w:rsid w:val="005856FB"/>
    <w:rsid w:val="005857FF"/>
    <w:rsid w:val="005865AF"/>
    <w:rsid w:val="00586B80"/>
    <w:rsid w:val="00590B63"/>
    <w:rsid w:val="00592FDD"/>
    <w:rsid w:val="005933D5"/>
    <w:rsid w:val="00593B66"/>
    <w:rsid w:val="005943BD"/>
    <w:rsid w:val="00595C42"/>
    <w:rsid w:val="00597135"/>
    <w:rsid w:val="0059726C"/>
    <w:rsid w:val="00597B44"/>
    <w:rsid w:val="005A08B8"/>
    <w:rsid w:val="005A0A7B"/>
    <w:rsid w:val="005A0E0A"/>
    <w:rsid w:val="005A0E9F"/>
    <w:rsid w:val="005A11BD"/>
    <w:rsid w:val="005A179D"/>
    <w:rsid w:val="005A1F87"/>
    <w:rsid w:val="005A27EF"/>
    <w:rsid w:val="005A2B7F"/>
    <w:rsid w:val="005A34A1"/>
    <w:rsid w:val="005A4B02"/>
    <w:rsid w:val="005A55EB"/>
    <w:rsid w:val="005A6818"/>
    <w:rsid w:val="005A6AD5"/>
    <w:rsid w:val="005A7779"/>
    <w:rsid w:val="005A77E1"/>
    <w:rsid w:val="005A78C9"/>
    <w:rsid w:val="005B05EE"/>
    <w:rsid w:val="005B10BC"/>
    <w:rsid w:val="005B18C8"/>
    <w:rsid w:val="005B2E42"/>
    <w:rsid w:val="005B3CE6"/>
    <w:rsid w:val="005B4191"/>
    <w:rsid w:val="005B59D7"/>
    <w:rsid w:val="005B5CFB"/>
    <w:rsid w:val="005B6E92"/>
    <w:rsid w:val="005B7EA6"/>
    <w:rsid w:val="005C10E2"/>
    <w:rsid w:val="005C1A26"/>
    <w:rsid w:val="005C26F0"/>
    <w:rsid w:val="005C3167"/>
    <w:rsid w:val="005C3722"/>
    <w:rsid w:val="005C3AD5"/>
    <w:rsid w:val="005C4A09"/>
    <w:rsid w:val="005C4CBD"/>
    <w:rsid w:val="005C4F74"/>
    <w:rsid w:val="005C6A7D"/>
    <w:rsid w:val="005C7953"/>
    <w:rsid w:val="005D0478"/>
    <w:rsid w:val="005D089D"/>
    <w:rsid w:val="005D0D26"/>
    <w:rsid w:val="005D0F20"/>
    <w:rsid w:val="005D36AC"/>
    <w:rsid w:val="005D39DD"/>
    <w:rsid w:val="005D3A5B"/>
    <w:rsid w:val="005D3E96"/>
    <w:rsid w:val="005D5B2D"/>
    <w:rsid w:val="005D7277"/>
    <w:rsid w:val="005D772B"/>
    <w:rsid w:val="005D7FBA"/>
    <w:rsid w:val="005E042D"/>
    <w:rsid w:val="005E0B11"/>
    <w:rsid w:val="005E114E"/>
    <w:rsid w:val="005E12F3"/>
    <w:rsid w:val="005E2111"/>
    <w:rsid w:val="005E2826"/>
    <w:rsid w:val="005E4898"/>
    <w:rsid w:val="005E5BAB"/>
    <w:rsid w:val="005E5D1E"/>
    <w:rsid w:val="005E7223"/>
    <w:rsid w:val="005F06FA"/>
    <w:rsid w:val="005F08FA"/>
    <w:rsid w:val="005F134D"/>
    <w:rsid w:val="005F15BB"/>
    <w:rsid w:val="005F1E1E"/>
    <w:rsid w:val="005F2050"/>
    <w:rsid w:val="005F356C"/>
    <w:rsid w:val="005F409E"/>
    <w:rsid w:val="005F4711"/>
    <w:rsid w:val="005F5135"/>
    <w:rsid w:val="005F616B"/>
    <w:rsid w:val="005F72B8"/>
    <w:rsid w:val="005F7B07"/>
    <w:rsid w:val="0060034D"/>
    <w:rsid w:val="00600661"/>
    <w:rsid w:val="0060181E"/>
    <w:rsid w:val="00602FE5"/>
    <w:rsid w:val="00603215"/>
    <w:rsid w:val="006042E7"/>
    <w:rsid w:val="00605234"/>
    <w:rsid w:val="0060623B"/>
    <w:rsid w:val="006108FE"/>
    <w:rsid w:val="00610AA9"/>
    <w:rsid w:val="00610C32"/>
    <w:rsid w:val="0061110D"/>
    <w:rsid w:val="00612132"/>
    <w:rsid w:val="00613BEE"/>
    <w:rsid w:val="00614203"/>
    <w:rsid w:val="00614933"/>
    <w:rsid w:val="006167D3"/>
    <w:rsid w:val="00616983"/>
    <w:rsid w:val="00616AB8"/>
    <w:rsid w:val="0062028D"/>
    <w:rsid w:val="00620AC3"/>
    <w:rsid w:val="00621F01"/>
    <w:rsid w:val="00622A1A"/>
    <w:rsid w:val="00622EF7"/>
    <w:rsid w:val="00623069"/>
    <w:rsid w:val="00623A05"/>
    <w:rsid w:val="006246B8"/>
    <w:rsid w:val="00625167"/>
    <w:rsid w:val="00625D15"/>
    <w:rsid w:val="00625EE4"/>
    <w:rsid w:val="006264C6"/>
    <w:rsid w:val="006269A1"/>
    <w:rsid w:val="00627C10"/>
    <w:rsid w:val="006303A4"/>
    <w:rsid w:val="00630C2B"/>
    <w:rsid w:val="006310AF"/>
    <w:rsid w:val="006310FA"/>
    <w:rsid w:val="006312EB"/>
    <w:rsid w:val="00631960"/>
    <w:rsid w:val="00631F6E"/>
    <w:rsid w:val="00633899"/>
    <w:rsid w:val="00635304"/>
    <w:rsid w:val="00635A33"/>
    <w:rsid w:val="00635FC0"/>
    <w:rsid w:val="0063727F"/>
    <w:rsid w:val="006377ED"/>
    <w:rsid w:val="00637955"/>
    <w:rsid w:val="00637E4A"/>
    <w:rsid w:val="0064065B"/>
    <w:rsid w:val="006407C0"/>
    <w:rsid w:val="00640989"/>
    <w:rsid w:val="00640D89"/>
    <w:rsid w:val="00641ABE"/>
    <w:rsid w:val="0064346B"/>
    <w:rsid w:val="00645493"/>
    <w:rsid w:val="0064637B"/>
    <w:rsid w:val="006463E1"/>
    <w:rsid w:val="00650839"/>
    <w:rsid w:val="0065124C"/>
    <w:rsid w:val="0065151D"/>
    <w:rsid w:val="00651C4C"/>
    <w:rsid w:val="00651E13"/>
    <w:rsid w:val="00651EEE"/>
    <w:rsid w:val="00652094"/>
    <w:rsid w:val="00652A28"/>
    <w:rsid w:val="006530F2"/>
    <w:rsid w:val="00653B4B"/>
    <w:rsid w:val="00653C17"/>
    <w:rsid w:val="00653D97"/>
    <w:rsid w:val="006542CA"/>
    <w:rsid w:val="0065570C"/>
    <w:rsid w:val="00655FD1"/>
    <w:rsid w:val="006563F8"/>
    <w:rsid w:val="0065676C"/>
    <w:rsid w:val="006568BC"/>
    <w:rsid w:val="00656AA0"/>
    <w:rsid w:val="00656DBE"/>
    <w:rsid w:val="00657238"/>
    <w:rsid w:val="00660182"/>
    <w:rsid w:val="0066068B"/>
    <w:rsid w:val="00661887"/>
    <w:rsid w:val="00661B12"/>
    <w:rsid w:val="006624FD"/>
    <w:rsid w:val="006626FC"/>
    <w:rsid w:val="00663005"/>
    <w:rsid w:val="00663D0A"/>
    <w:rsid w:val="00663E91"/>
    <w:rsid w:val="006641DC"/>
    <w:rsid w:val="006649AF"/>
    <w:rsid w:val="00664CF7"/>
    <w:rsid w:val="006656E8"/>
    <w:rsid w:val="00665DCF"/>
    <w:rsid w:val="00665F85"/>
    <w:rsid w:val="00666924"/>
    <w:rsid w:val="00671B3F"/>
    <w:rsid w:val="00672527"/>
    <w:rsid w:val="006728D6"/>
    <w:rsid w:val="006752E5"/>
    <w:rsid w:val="00676040"/>
    <w:rsid w:val="00676A12"/>
    <w:rsid w:val="00676FAA"/>
    <w:rsid w:val="0067718F"/>
    <w:rsid w:val="006776D4"/>
    <w:rsid w:val="0068003D"/>
    <w:rsid w:val="006807F0"/>
    <w:rsid w:val="00680F38"/>
    <w:rsid w:val="00682175"/>
    <w:rsid w:val="00683135"/>
    <w:rsid w:val="0068354F"/>
    <w:rsid w:val="00683637"/>
    <w:rsid w:val="006838B1"/>
    <w:rsid w:val="0068479A"/>
    <w:rsid w:val="006854F1"/>
    <w:rsid w:val="00685D8C"/>
    <w:rsid w:val="00685E2A"/>
    <w:rsid w:val="00685E83"/>
    <w:rsid w:val="00687934"/>
    <w:rsid w:val="006879FD"/>
    <w:rsid w:val="00687A4F"/>
    <w:rsid w:val="0069026C"/>
    <w:rsid w:val="00690A65"/>
    <w:rsid w:val="0069329B"/>
    <w:rsid w:val="00693CE9"/>
    <w:rsid w:val="00693E69"/>
    <w:rsid w:val="00693F50"/>
    <w:rsid w:val="00694B25"/>
    <w:rsid w:val="00695B67"/>
    <w:rsid w:val="0069615C"/>
    <w:rsid w:val="006970B2"/>
    <w:rsid w:val="00697F62"/>
    <w:rsid w:val="006A08BF"/>
    <w:rsid w:val="006A0FD6"/>
    <w:rsid w:val="006A1060"/>
    <w:rsid w:val="006A124C"/>
    <w:rsid w:val="006A1D0E"/>
    <w:rsid w:val="006A4653"/>
    <w:rsid w:val="006A4CA6"/>
    <w:rsid w:val="006A5261"/>
    <w:rsid w:val="006A5A63"/>
    <w:rsid w:val="006A68E5"/>
    <w:rsid w:val="006B0672"/>
    <w:rsid w:val="006B11E2"/>
    <w:rsid w:val="006B13F2"/>
    <w:rsid w:val="006B1786"/>
    <w:rsid w:val="006B5208"/>
    <w:rsid w:val="006B64C2"/>
    <w:rsid w:val="006B68F5"/>
    <w:rsid w:val="006B6C2D"/>
    <w:rsid w:val="006B6EC2"/>
    <w:rsid w:val="006B7308"/>
    <w:rsid w:val="006B7D98"/>
    <w:rsid w:val="006C0849"/>
    <w:rsid w:val="006C11BE"/>
    <w:rsid w:val="006C1542"/>
    <w:rsid w:val="006C15E1"/>
    <w:rsid w:val="006C1B5C"/>
    <w:rsid w:val="006C1FA4"/>
    <w:rsid w:val="006C234D"/>
    <w:rsid w:val="006C2CD0"/>
    <w:rsid w:val="006C2E2A"/>
    <w:rsid w:val="006C3D2A"/>
    <w:rsid w:val="006C3FC7"/>
    <w:rsid w:val="006C452B"/>
    <w:rsid w:val="006C4ABB"/>
    <w:rsid w:val="006C67D0"/>
    <w:rsid w:val="006C71FF"/>
    <w:rsid w:val="006D19FC"/>
    <w:rsid w:val="006D239D"/>
    <w:rsid w:val="006D2971"/>
    <w:rsid w:val="006D2BC2"/>
    <w:rsid w:val="006D2DC0"/>
    <w:rsid w:val="006D3CC3"/>
    <w:rsid w:val="006D4267"/>
    <w:rsid w:val="006D4355"/>
    <w:rsid w:val="006D49E4"/>
    <w:rsid w:val="006D4FD7"/>
    <w:rsid w:val="006D5B8C"/>
    <w:rsid w:val="006D6A3A"/>
    <w:rsid w:val="006D7B37"/>
    <w:rsid w:val="006E0065"/>
    <w:rsid w:val="006E0182"/>
    <w:rsid w:val="006E038B"/>
    <w:rsid w:val="006E04E9"/>
    <w:rsid w:val="006E09F4"/>
    <w:rsid w:val="006E0A36"/>
    <w:rsid w:val="006E1338"/>
    <w:rsid w:val="006E221F"/>
    <w:rsid w:val="006E2D3E"/>
    <w:rsid w:val="006E5511"/>
    <w:rsid w:val="006E5AFE"/>
    <w:rsid w:val="006E60F9"/>
    <w:rsid w:val="006E65D2"/>
    <w:rsid w:val="006F04BC"/>
    <w:rsid w:val="006F0A5E"/>
    <w:rsid w:val="006F0D3D"/>
    <w:rsid w:val="006F0E94"/>
    <w:rsid w:val="006F1212"/>
    <w:rsid w:val="006F1590"/>
    <w:rsid w:val="006F29B7"/>
    <w:rsid w:val="006F4280"/>
    <w:rsid w:val="006F4C03"/>
    <w:rsid w:val="006F4E9D"/>
    <w:rsid w:val="006F5D76"/>
    <w:rsid w:val="006F61C8"/>
    <w:rsid w:val="006F7D70"/>
    <w:rsid w:val="006F7F0E"/>
    <w:rsid w:val="007003D3"/>
    <w:rsid w:val="007014F2"/>
    <w:rsid w:val="007019E9"/>
    <w:rsid w:val="007028D8"/>
    <w:rsid w:val="00703900"/>
    <w:rsid w:val="00704935"/>
    <w:rsid w:val="00705311"/>
    <w:rsid w:val="00706280"/>
    <w:rsid w:val="00707525"/>
    <w:rsid w:val="00710A3A"/>
    <w:rsid w:val="00711A51"/>
    <w:rsid w:val="007120D2"/>
    <w:rsid w:val="00712F32"/>
    <w:rsid w:val="007131F4"/>
    <w:rsid w:val="007132EE"/>
    <w:rsid w:val="007137C2"/>
    <w:rsid w:val="00713EF2"/>
    <w:rsid w:val="007141D4"/>
    <w:rsid w:val="0071459A"/>
    <w:rsid w:val="007148A9"/>
    <w:rsid w:val="00714E17"/>
    <w:rsid w:val="007154E5"/>
    <w:rsid w:val="0071613F"/>
    <w:rsid w:val="007169B6"/>
    <w:rsid w:val="00716F41"/>
    <w:rsid w:val="00717A79"/>
    <w:rsid w:val="007200D9"/>
    <w:rsid w:val="00720971"/>
    <w:rsid w:val="00720EF4"/>
    <w:rsid w:val="0072120E"/>
    <w:rsid w:val="00721316"/>
    <w:rsid w:val="00722E78"/>
    <w:rsid w:val="007239CE"/>
    <w:rsid w:val="00723DDF"/>
    <w:rsid w:val="00723FF5"/>
    <w:rsid w:val="007249C7"/>
    <w:rsid w:val="00726812"/>
    <w:rsid w:val="007279F1"/>
    <w:rsid w:val="00727A10"/>
    <w:rsid w:val="007305D1"/>
    <w:rsid w:val="00730737"/>
    <w:rsid w:val="00730D21"/>
    <w:rsid w:val="0073112A"/>
    <w:rsid w:val="0073266B"/>
    <w:rsid w:val="00732A71"/>
    <w:rsid w:val="00734487"/>
    <w:rsid w:val="00734C69"/>
    <w:rsid w:val="00734E78"/>
    <w:rsid w:val="007362FE"/>
    <w:rsid w:val="00736DB5"/>
    <w:rsid w:val="00737D67"/>
    <w:rsid w:val="007404D1"/>
    <w:rsid w:val="007406DB"/>
    <w:rsid w:val="00740C47"/>
    <w:rsid w:val="00740C8D"/>
    <w:rsid w:val="0074102A"/>
    <w:rsid w:val="007414E0"/>
    <w:rsid w:val="007419F5"/>
    <w:rsid w:val="00741BF6"/>
    <w:rsid w:val="0074266C"/>
    <w:rsid w:val="00743979"/>
    <w:rsid w:val="0074407A"/>
    <w:rsid w:val="00745290"/>
    <w:rsid w:val="0074603F"/>
    <w:rsid w:val="0074654D"/>
    <w:rsid w:val="00746CDC"/>
    <w:rsid w:val="007473A0"/>
    <w:rsid w:val="007500A0"/>
    <w:rsid w:val="007503CA"/>
    <w:rsid w:val="00751380"/>
    <w:rsid w:val="00752CEF"/>
    <w:rsid w:val="0075379D"/>
    <w:rsid w:val="00753E91"/>
    <w:rsid w:val="007541FD"/>
    <w:rsid w:val="00754681"/>
    <w:rsid w:val="00754CEF"/>
    <w:rsid w:val="00755D18"/>
    <w:rsid w:val="007562C0"/>
    <w:rsid w:val="007568C2"/>
    <w:rsid w:val="007574DA"/>
    <w:rsid w:val="00760D36"/>
    <w:rsid w:val="00760EE7"/>
    <w:rsid w:val="00761985"/>
    <w:rsid w:val="0076229C"/>
    <w:rsid w:val="007629AC"/>
    <w:rsid w:val="007656CA"/>
    <w:rsid w:val="0076729C"/>
    <w:rsid w:val="007702DF"/>
    <w:rsid w:val="00770552"/>
    <w:rsid w:val="0077095B"/>
    <w:rsid w:val="00770E50"/>
    <w:rsid w:val="00772582"/>
    <w:rsid w:val="00772D1E"/>
    <w:rsid w:val="00774456"/>
    <w:rsid w:val="00774F9D"/>
    <w:rsid w:val="00775D5A"/>
    <w:rsid w:val="00776399"/>
    <w:rsid w:val="00777AFA"/>
    <w:rsid w:val="00777B01"/>
    <w:rsid w:val="00780ECA"/>
    <w:rsid w:val="00782424"/>
    <w:rsid w:val="00782487"/>
    <w:rsid w:val="007824FB"/>
    <w:rsid w:val="007833F6"/>
    <w:rsid w:val="00784576"/>
    <w:rsid w:val="00784ADF"/>
    <w:rsid w:val="00784D85"/>
    <w:rsid w:val="007850DB"/>
    <w:rsid w:val="00786DD1"/>
    <w:rsid w:val="00790E3D"/>
    <w:rsid w:val="00792124"/>
    <w:rsid w:val="0079283E"/>
    <w:rsid w:val="00792E41"/>
    <w:rsid w:val="007938D8"/>
    <w:rsid w:val="0079409B"/>
    <w:rsid w:val="007948B7"/>
    <w:rsid w:val="00795DC8"/>
    <w:rsid w:val="00797745"/>
    <w:rsid w:val="007A0669"/>
    <w:rsid w:val="007A0C5D"/>
    <w:rsid w:val="007A159B"/>
    <w:rsid w:val="007A1D3B"/>
    <w:rsid w:val="007A2784"/>
    <w:rsid w:val="007A31CE"/>
    <w:rsid w:val="007A321B"/>
    <w:rsid w:val="007A4D3E"/>
    <w:rsid w:val="007A52CF"/>
    <w:rsid w:val="007A54DD"/>
    <w:rsid w:val="007A72D8"/>
    <w:rsid w:val="007A73DC"/>
    <w:rsid w:val="007A79ED"/>
    <w:rsid w:val="007B0A4C"/>
    <w:rsid w:val="007B16A7"/>
    <w:rsid w:val="007B3CE6"/>
    <w:rsid w:val="007B4BB2"/>
    <w:rsid w:val="007B7D4C"/>
    <w:rsid w:val="007C10AB"/>
    <w:rsid w:val="007C13DE"/>
    <w:rsid w:val="007C27AB"/>
    <w:rsid w:val="007C2853"/>
    <w:rsid w:val="007C3892"/>
    <w:rsid w:val="007C38D3"/>
    <w:rsid w:val="007C4682"/>
    <w:rsid w:val="007C46F0"/>
    <w:rsid w:val="007C4BCE"/>
    <w:rsid w:val="007C4E80"/>
    <w:rsid w:val="007C4F9B"/>
    <w:rsid w:val="007C588C"/>
    <w:rsid w:val="007C6D83"/>
    <w:rsid w:val="007C6FB6"/>
    <w:rsid w:val="007C7BEA"/>
    <w:rsid w:val="007C7D3F"/>
    <w:rsid w:val="007C7EF4"/>
    <w:rsid w:val="007D063D"/>
    <w:rsid w:val="007D1366"/>
    <w:rsid w:val="007D2650"/>
    <w:rsid w:val="007D3CF9"/>
    <w:rsid w:val="007D5084"/>
    <w:rsid w:val="007D774D"/>
    <w:rsid w:val="007E01BC"/>
    <w:rsid w:val="007E0271"/>
    <w:rsid w:val="007E0593"/>
    <w:rsid w:val="007E09A9"/>
    <w:rsid w:val="007E0AAF"/>
    <w:rsid w:val="007E1062"/>
    <w:rsid w:val="007E115A"/>
    <w:rsid w:val="007E1F0E"/>
    <w:rsid w:val="007E23EE"/>
    <w:rsid w:val="007E2968"/>
    <w:rsid w:val="007E2C7A"/>
    <w:rsid w:val="007E344E"/>
    <w:rsid w:val="007E367F"/>
    <w:rsid w:val="007E4290"/>
    <w:rsid w:val="007E44D7"/>
    <w:rsid w:val="007E47BE"/>
    <w:rsid w:val="007E59E5"/>
    <w:rsid w:val="007E5F2B"/>
    <w:rsid w:val="007E69E6"/>
    <w:rsid w:val="007F0344"/>
    <w:rsid w:val="007F0F34"/>
    <w:rsid w:val="007F332A"/>
    <w:rsid w:val="007F36EB"/>
    <w:rsid w:val="007F37F2"/>
    <w:rsid w:val="007F4323"/>
    <w:rsid w:val="007F4D97"/>
    <w:rsid w:val="007F4FDF"/>
    <w:rsid w:val="007F5205"/>
    <w:rsid w:val="007F79CA"/>
    <w:rsid w:val="00800D05"/>
    <w:rsid w:val="008015B4"/>
    <w:rsid w:val="00801603"/>
    <w:rsid w:val="00801BF6"/>
    <w:rsid w:val="008024E2"/>
    <w:rsid w:val="00802768"/>
    <w:rsid w:val="00802828"/>
    <w:rsid w:val="00802E7A"/>
    <w:rsid w:val="00804E42"/>
    <w:rsid w:val="00805E17"/>
    <w:rsid w:val="00805F14"/>
    <w:rsid w:val="008065FF"/>
    <w:rsid w:val="00806DE1"/>
    <w:rsid w:val="00807436"/>
    <w:rsid w:val="00810287"/>
    <w:rsid w:val="00810F0C"/>
    <w:rsid w:val="0081310A"/>
    <w:rsid w:val="008140EC"/>
    <w:rsid w:val="00814F5D"/>
    <w:rsid w:val="00815331"/>
    <w:rsid w:val="0081571F"/>
    <w:rsid w:val="008159D2"/>
    <w:rsid w:val="00815B3E"/>
    <w:rsid w:val="008165B8"/>
    <w:rsid w:val="00816EA4"/>
    <w:rsid w:val="008171D0"/>
    <w:rsid w:val="008175CB"/>
    <w:rsid w:val="008179F8"/>
    <w:rsid w:val="00817B40"/>
    <w:rsid w:val="00820CAF"/>
    <w:rsid w:val="0082106E"/>
    <w:rsid w:val="00821111"/>
    <w:rsid w:val="00821624"/>
    <w:rsid w:val="0082393F"/>
    <w:rsid w:val="0082399A"/>
    <w:rsid w:val="0082454B"/>
    <w:rsid w:val="00825269"/>
    <w:rsid w:val="008259A0"/>
    <w:rsid w:val="00826AAF"/>
    <w:rsid w:val="008308A9"/>
    <w:rsid w:val="008308E1"/>
    <w:rsid w:val="00831667"/>
    <w:rsid w:val="008318AD"/>
    <w:rsid w:val="00833035"/>
    <w:rsid w:val="00833717"/>
    <w:rsid w:val="00835161"/>
    <w:rsid w:val="008351C2"/>
    <w:rsid w:val="00835896"/>
    <w:rsid w:val="00835F84"/>
    <w:rsid w:val="0083713B"/>
    <w:rsid w:val="0083782F"/>
    <w:rsid w:val="00837AD6"/>
    <w:rsid w:val="008401DC"/>
    <w:rsid w:val="00840AB8"/>
    <w:rsid w:val="008421D5"/>
    <w:rsid w:val="00842259"/>
    <w:rsid w:val="0084309E"/>
    <w:rsid w:val="00843589"/>
    <w:rsid w:val="00843832"/>
    <w:rsid w:val="0084456D"/>
    <w:rsid w:val="00844B5D"/>
    <w:rsid w:val="00844D5F"/>
    <w:rsid w:val="00851566"/>
    <w:rsid w:val="0085196F"/>
    <w:rsid w:val="00852422"/>
    <w:rsid w:val="00852A1D"/>
    <w:rsid w:val="00852A87"/>
    <w:rsid w:val="00852BB5"/>
    <w:rsid w:val="00853BDB"/>
    <w:rsid w:val="00853EEC"/>
    <w:rsid w:val="00856911"/>
    <w:rsid w:val="00856EC0"/>
    <w:rsid w:val="00856FA5"/>
    <w:rsid w:val="008570D0"/>
    <w:rsid w:val="00857C94"/>
    <w:rsid w:val="00860368"/>
    <w:rsid w:val="008604EE"/>
    <w:rsid w:val="00860D44"/>
    <w:rsid w:val="00861511"/>
    <w:rsid w:val="008634EE"/>
    <w:rsid w:val="00864112"/>
    <w:rsid w:val="00865CD4"/>
    <w:rsid w:val="008661D6"/>
    <w:rsid w:val="00866781"/>
    <w:rsid w:val="008667E3"/>
    <w:rsid w:val="008672B4"/>
    <w:rsid w:val="0086772B"/>
    <w:rsid w:val="00867878"/>
    <w:rsid w:val="0087006C"/>
    <w:rsid w:val="00870E21"/>
    <w:rsid w:val="0087287F"/>
    <w:rsid w:val="00872B9D"/>
    <w:rsid w:val="00872BB3"/>
    <w:rsid w:val="008733BF"/>
    <w:rsid w:val="00873A0A"/>
    <w:rsid w:val="00873BF8"/>
    <w:rsid w:val="00874305"/>
    <w:rsid w:val="00874883"/>
    <w:rsid w:val="00874F62"/>
    <w:rsid w:val="00875650"/>
    <w:rsid w:val="00875E48"/>
    <w:rsid w:val="00877325"/>
    <w:rsid w:val="0088054E"/>
    <w:rsid w:val="00880E8F"/>
    <w:rsid w:val="008839E0"/>
    <w:rsid w:val="00883CAF"/>
    <w:rsid w:val="00884039"/>
    <w:rsid w:val="00885435"/>
    <w:rsid w:val="00887AE0"/>
    <w:rsid w:val="00887D97"/>
    <w:rsid w:val="008904DB"/>
    <w:rsid w:val="00891050"/>
    <w:rsid w:val="008921F9"/>
    <w:rsid w:val="00892640"/>
    <w:rsid w:val="00892D69"/>
    <w:rsid w:val="00892E54"/>
    <w:rsid w:val="008933D5"/>
    <w:rsid w:val="00894D49"/>
    <w:rsid w:val="0089551D"/>
    <w:rsid w:val="008959C7"/>
    <w:rsid w:val="00896206"/>
    <w:rsid w:val="00896E04"/>
    <w:rsid w:val="00897172"/>
    <w:rsid w:val="00897D62"/>
    <w:rsid w:val="008A00ED"/>
    <w:rsid w:val="008A0314"/>
    <w:rsid w:val="008A0E8B"/>
    <w:rsid w:val="008A0F49"/>
    <w:rsid w:val="008A1284"/>
    <w:rsid w:val="008A17DF"/>
    <w:rsid w:val="008A23E6"/>
    <w:rsid w:val="008A293F"/>
    <w:rsid w:val="008A312E"/>
    <w:rsid w:val="008A3DE0"/>
    <w:rsid w:val="008A4295"/>
    <w:rsid w:val="008A4B47"/>
    <w:rsid w:val="008A509F"/>
    <w:rsid w:val="008A5994"/>
    <w:rsid w:val="008A59A3"/>
    <w:rsid w:val="008A6999"/>
    <w:rsid w:val="008A6B76"/>
    <w:rsid w:val="008A77F8"/>
    <w:rsid w:val="008B0EBE"/>
    <w:rsid w:val="008B1418"/>
    <w:rsid w:val="008B1C61"/>
    <w:rsid w:val="008B32C2"/>
    <w:rsid w:val="008B4304"/>
    <w:rsid w:val="008B4D74"/>
    <w:rsid w:val="008B56A6"/>
    <w:rsid w:val="008B582B"/>
    <w:rsid w:val="008B5B35"/>
    <w:rsid w:val="008B5F2D"/>
    <w:rsid w:val="008B6237"/>
    <w:rsid w:val="008B6463"/>
    <w:rsid w:val="008B769D"/>
    <w:rsid w:val="008C028D"/>
    <w:rsid w:val="008C2787"/>
    <w:rsid w:val="008C336B"/>
    <w:rsid w:val="008C3530"/>
    <w:rsid w:val="008C4D6B"/>
    <w:rsid w:val="008C4EF6"/>
    <w:rsid w:val="008C533D"/>
    <w:rsid w:val="008C7B35"/>
    <w:rsid w:val="008C7FB7"/>
    <w:rsid w:val="008D0E84"/>
    <w:rsid w:val="008D122D"/>
    <w:rsid w:val="008D19C7"/>
    <w:rsid w:val="008D1C8D"/>
    <w:rsid w:val="008D1D7C"/>
    <w:rsid w:val="008D1F9A"/>
    <w:rsid w:val="008D2133"/>
    <w:rsid w:val="008D2329"/>
    <w:rsid w:val="008D27FC"/>
    <w:rsid w:val="008D3235"/>
    <w:rsid w:val="008D3967"/>
    <w:rsid w:val="008D3EF8"/>
    <w:rsid w:val="008D43E7"/>
    <w:rsid w:val="008D5848"/>
    <w:rsid w:val="008D6145"/>
    <w:rsid w:val="008D6F2A"/>
    <w:rsid w:val="008D76D0"/>
    <w:rsid w:val="008D7760"/>
    <w:rsid w:val="008D7F45"/>
    <w:rsid w:val="008E0218"/>
    <w:rsid w:val="008E0750"/>
    <w:rsid w:val="008E131E"/>
    <w:rsid w:val="008E1FC4"/>
    <w:rsid w:val="008E23A1"/>
    <w:rsid w:val="008E452F"/>
    <w:rsid w:val="008E46F3"/>
    <w:rsid w:val="008E5AC2"/>
    <w:rsid w:val="008E5EBB"/>
    <w:rsid w:val="008E76C0"/>
    <w:rsid w:val="008F0436"/>
    <w:rsid w:val="008F10E2"/>
    <w:rsid w:val="008F2CFD"/>
    <w:rsid w:val="008F30DF"/>
    <w:rsid w:val="008F3CEB"/>
    <w:rsid w:val="008F4648"/>
    <w:rsid w:val="008F6198"/>
    <w:rsid w:val="008F6AB0"/>
    <w:rsid w:val="008F73EA"/>
    <w:rsid w:val="008F75C3"/>
    <w:rsid w:val="008F7ED6"/>
    <w:rsid w:val="009004E6"/>
    <w:rsid w:val="00904A0B"/>
    <w:rsid w:val="009061A2"/>
    <w:rsid w:val="00907E8D"/>
    <w:rsid w:val="00910148"/>
    <w:rsid w:val="00910951"/>
    <w:rsid w:val="00911A27"/>
    <w:rsid w:val="009120B0"/>
    <w:rsid w:val="009123E2"/>
    <w:rsid w:val="00912478"/>
    <w:rsid w:val="009127B1"/>
    <w:rsid w:val="00912BEA"/>
    <w:rsid w:val="00913B31"/>
    <w:rsid w:val="0091478C"/>
    <w:rsid w:val="00914908"/>
    <w:rsid w:val="009155A1"/>
    <w:rsid w:val="00916330"/>
    <w:rsid w:val="00917035"/>
    <w:rsid w:val="0091769B"/>
    <w:rsid w:val="0092008B"/>
    <w:rsid w:val="009207E5"/>
    <w:rsid w:val="00920D81"/>
    <w:rsid w:val="00920E91"/>
    <w:rsid w:val="00921C13"/>
    <w:rsid w:val="0092239E"/>
    <w:rsid w:val="00922FBF"/>
    <w:rsid w:val="0092338A"/>
    <w:rsid w:val="00923FBF"/>
    <w:rsid w:val="00924650"/>
    <w:rsid w:val="00924902"/>
    <w:rsid w:val="00924DF1"/>
    <w:rsid w:val="00924E31"/>
    <w:rsid w:val="00925CF1"/>
    <w:rsid w:val="0092606A"/>
    <w:rsid w:val="0092716A"/>
    <w:rsid w:val="00927BFE"/>
    <w:rsid w:val="00930CD6"/>
    <w:rsid w:val="00931BE0"/>
    <w:rsid w:val="00933DDF"/>
    <w:rsid w:val="00934034"/>
    <w:rsid w:val="00935488"/>
    <w:rsid w:val="009354BB"/>
    <w:rsid w:val="00935D97"/>
    <w:rsid w:val="009360A8"/>
    <w:rsid w:val="009400A2"/>
    <w:rsid w:val="009409DC"/>
    <w:rsid w:val="009412AE"/>
    <w:rsid w:val="009433FC"/>
    <w:rsid w:val="00943500"/>
    <w:rsid w:val="00943E97"/>
    <w:rsid w:val="00946457"/>
    <w:rsid w:val="00946AF7"/>
    <w:rsid w:val="00946B8E"/>
    <w:rsid w:val="0094700E"/>
    <w:rsid w:val="0094746A"/>
    <w:rsid w:val="009478F1"/>
    <w:rsid w:val="00950EF3"/>
    <w:rsid w:val="0095175D"/>
    <w:rsid w:val="00953A3A"/>
    <w:rsid w:val="00955169"/>
    <w:rsid w:val="0095560A"/>
    <w:rsid w:val="00955FC1"/>
    <w:rsid w:val="009562E8"/>
    <w:rsid w:val="00956FB8"/>
    <w:rsid w:val="00957261"/>
    <w:rsid w:val="009607A9"/>
    <w:rsid w:val="00960E19"/>
    <w:rsid w:val="009610D3"/>
    <w:rsid w:val="009620D1"/>
    <w:rsid w:val="00962BA6"/>
    <w:rsid w:val="0096359D"/>
    <w:rsid w:val="00963756"/>
    <w:rsid w:val="0096382B"/>
    <w:rsid w:val="00963C99"/>
    <w:rsid w:val="009653FE"/>
    <w:rsid w:val="00965445"/>
    <w:rsid w:val="00965523"/>
    <w:rsid w:val="00965F70"/>
    <w:rsid w:val="00966332"/>
    <w:rsid w:val="00966D61"/>
    <w:rsid w:val="00966EC8"/>
    <w:rsid w:val="00967092"/>
    <w:rsid w:val="00970481"/>
    <w:rsid w:val="00970987"/>
    <w:rsid w:val="00972604"/>
    <w:rsid w:val="00972980"/>
    <w:rsid w:val="00972BA5"/>
    <w:rsid w:val="0097440F"/>
    <w:rsid w:val="0097545C"/>
    <w:rsid w:val="00975F7A"/>
    <w:rsid w:val="00976075"/>
    <w:rsid w:val="00976267"/>
    <w:rsid w:val="009771AE"/>
    <w:rsid w:val="00977528"/>
    <w:rsid w:val="00977BAE"/>
    <w:rsid w:val="00980677"/>
    <w:rsid w:val="00982015"/>
    <w:rsid w:val="009829D0"/>
    <w:rsid w:val="00982DB2"/>
    <w:rsid w:val="00983692"/>
    <w:rsid w:val="0098422E"/>
    <w:rsid w:val="00984F2C"/>
    <w:rsid w:val="00985F45"/>
    <w:rsid w:val="00985FD9"/>
    <w:rsid w:val="009863D3"/>
    <w:rsid w:val="009900AF"/>
    <w:rsid w:val="0099113E"/>
    <w:rsid w:val="009928D8"/>
    <w:rsid w:val="00992AC3"/>
    <w:rsid w:val="00993BB4"/>
    <w:rsid w:val="00993C2F"/>
    <w:rsid w:val="00994CFF"/>
    <w:rsid w:val="0099573A"/>
    <w:rsid w:val="00995AC8"/>
    <w:rsid w:val="009965B5"/>
    <w:rsid w:val="00997DFE"/>
    <w:rsid w:val="009A365D"/>
    <w:rsid w:val="009A3FDA"/>
    <w:rsid w:val="009A4CE5"/>
    <w:rsid w:val="009A59A1"/>
    <w:rsid w:val="009A5CE8"/>
    <w:rsid w:val="009A60D1"/>
    <w:rsid w:val="009A6921"/>
    <w:rsid w:val="009A7356"/>
    <w:rsid w:val="009A7993"/>
    <w:rsid w:val="009A7C5B"/>
    <w:rsid w:val="009B0E0C"/>
    <w:rsid w:val="009B141C"/>
    <w:rsid w:val="009B1BD5"/>
    <w:rsid w:val="009B1D86"/>
    <w:rsid w:val="009B231C"/>
    <w:rsid w:val="009B3A1F"/>
    <w:rsid w:val="009B45D4"/>
    <w:rsid w:val="009B45E1"/>
    <w:rsid w:val="009B505D"/>
    <w:rsid w:val="009B648E"/>
    <w:rsid w:val="009B6906"/>
    <w:rsid w:val="009B6D73"/>
    <w:rsid w:val="009B7DFA"/>
    <w:rsid w:val="009C0E91"/>
    <w:rsid w:val="009C10A0"/>
    <w:rsid w:val="009C1BFE"/>
    <w:rsid w:val="009C2946"/>
    <w:rsid w:val="009C3942"/>
    <w:rsid w:val="009C3BE6"/>
    <w:rsid w:val="009C3D5D"/>
    <w:rsid w:val="009C6234"/>
    <w:rsid w:val="009C7704"/>
    <w:rsid w:val="009D027C"/>
    <w:rsid w:val="009D0565"/>
    <w:rsid w:val="009D089C"/>
    <w:rsid w:val="009D14EE"/>
    <w:rsid w:val="009D2630"/>
    <w:rsid w:val="009D2F5C"/>
    <w:rsid w:val="009D401C"/>
    <w:rsid w:val="009D4166"/>
    <w:rsid w:val="009D5ABE"/>
    <w:rsid w:val="009D65CF"/>
    <w:rsid w:val="009D71D4"/>
    <w:rsid w:val="009D7E93"/>
    <w:rsid w:val="009E0315"/>
    <w:rsid w:val="009E0A02"/>
    <w:rsid w:val="009E1413"/>
    <w:rsid w:val="009E1F8F"/>
    <w:rsid w:val="009E2A93"/>
    <w:rsid w:val="009E3346"/>
    <w:rsid w:val="009E4522"/>
    <w:rsid w:val="009E4C22"/>
    <w:rsid w:val="009E6BE1"/>
    <w:rsid w:val="009E6C1F"/>
    <w:rsid w:val="009E70C7"/>
    <w:rsid w:val="009E7222"/>
    <w:rsid w:val="009F0414"/>
    <w:rsid w:val="009F0CD2"/>
    <w:rsid w:val="009F1BA4"/>
    <w:rsid w:val="009F1F2D"/>
    <w:rsid w:val="009F216D"/>
    <w:rsid w:val="009F2AEA"/>
    <w:rsid w:val="009F431C"/>
    <w:rsid w:val="009F44E7"/>
    <w:rsid w:val="009F565F"/>
    <w:rsid w:val="009F69BB"/>
    <w:rsid w:val="009F7455"/>
    <w:rsid w:val="009F7ABC"/>
    <w:rsid w:val="00A00868"/>
    <w:rsid w:val="00A01DAA"/>
    <w:rsid w:val="00A0264D"/>
    <w:rsid w:val="00A02B34"/>
    <w:rsid w:val="00A04DA9"/>
    <w:rsid w:val="00A04E69"/>
    <w:rsid w:val="00A05401"/>
    <w:rsid w:val="00A058F2"/>
    <w:rsid w:val="00A05938"/>
    <w:rsid w:val="00A05E5B"/>
    <w:rsid w:val="00A0767D"/>
    <w:rsid w:val="00A076BC"/>
    <w:rsid w:val="00A07DCD"/>
    <w:rsid w:val="00A07DD0"/>
    <w:rsid w:val="00A106FA"/>
    <w:rsid w:val="00A10C1C"/>
    <w:rsid w:val="00A10F6F"/>
    <w:rsid w:val="00A1169E"/>
    <w:rsid w:val="00A123D4"/>
    <w:rsid w:val="00A12EFA"/>
    <w:rsid w:val="00A141AB"/>
    <w:rsid w:val="00A14A69"/>
    <w:rsid w:val="00A15161"/>
    <w:rsid w:val="00A163A1"/>
    <w:rsid w:val="00A171DD"/>
    <w:rsid w:val="00A174D3"/>
    <w:rsid w:val="00A17CEC"/>
    <w:rsid w:val="00A20D50"/>
    <w:rsid w:val="00A236FA"/>
    <w:rsid w:val="00A23743"/>
    <w:rsid w:val="00A239BE"/>
    <w:rsid w:val="00A241B9"/>
    <w:rsid w:val="00A2476A"/>
    <w:rsid w:val="00A24E9E"/>
    <w:rsid w:val="00A25A6A"/>
    <w:rsid w:val="00A262F6"/>
    <w:rsid w:val="00A2636D"/>
    <w:rsid w:val="00A300C0"/>
    <w:rsid w:val="00A309AC"/>
    <w:rsid w:val="00A30FB2"/>
    <w:rsid w:val="00A32E0B"/>
    <w:rsid w:val="00A333C3"/>
    <w:rsid w:val="00A34456"/>
    <w:rsid w:val="00A35972"/>
    <w:rsid w:val="00A36242"/>
    <w:rsid w:val="00A3644F"/>
    <w:rsid w:val="00A37225"/>
    <w:rsid w:val="00A40496"/>
    <w:rsid w:val="00A40F5C"/>
    <w:rsid w:val="00A41702"/>
    <w:rsid w:val="00A437B9"/>
    <w:rsid w:val="00A4482F"/>
    <w:rsid w:val="00A44B5C"/>
    <w:rsid w:val="00A458D3"/>
    <w:rsid w:val="00A46DCB"/>
    <w:rsid w:val="00A47A27"/>
    <w:rsid w:val="00A50845"/>
    <w:rsid w:val="00A509D3"/>
    <w:rsid w:val="00A5171B"/>
    <w:rsid w:val="00A51874"/>
    <w:rsid w:val="00A53BF6"/>
    <w:rsid w:val="00A54BC4"/>
    <w:rsid w:val="00A54CBF"/>
    <w:rsid w:val="00A55461"/>
    <w:rsid w:val="00A55FA6"/>
    <w:rsid w:val="00A61978"/>
    <w:rsid w:val="00A6261C"/>
    <w:rsid w:val="00A637D8"/>
    <w:rsid w:val="00A64BD3"/>
    <w:rsid w:val="00A65299"/>
    <w:rsid w:val="00A656A4"/>
    <w:rsid w:val="00A6796C"/>
    <w:rsid w:val="00A67DBF"/>
    <w:rsid w:val="00A70052"/>
    <w:rsid w:val="00A7025B"/>
    <w:rsid w:val="00A711EC"/>
    <w:rsid w:val="00A716A7"/>
    <w:rsid w:val="00A72333"/>
    <w:rsid w:val="00A72E64"/>
    <w:rsid w:val="00A74110"/>
    <w:rsid w:val="00A741AE"/>
    <w:rsid w:val="00A74E02"/>
    <w:rsid w:val="00A75170"/>
    <w:rsid w:val="00A751EB"/>
    <w:rsid w:val="00A7653A"/>
    <w:rsid w:val="00A76794"/>
    <w:rsid w:val="00A77367"/>
    <w:rsid w:val="00A8060B"/>
    <w:rsid w:val="00A80A51"/>
    <w:rsid w:val="00A80C32"/>
    <w:rsid w:val="00A82575"/>
    <w:rsid w:val="00A846E2"/>
    <w:rsid w:val="00A84842"/>
    <w:rsid w:val="00A85C0C"/>
    <w:rsid w:val="00A86DEC"/>
    <w:rsid w:val="00A91C80"/>
    <w:rsid w:val="00A93143"/>
    <w:rsid w:val="00A941D1"/>
    <w:rsid w:val="00A941E8"/>
    <w:rsid w:val="00A94A06"/>
    <w:rsid w:val="00A955D9"/>
    <w:rsid w:val="00A95817"/>
    <w:rsid w:val="00A95B7D"/>
    <w:rsid w:val="00A965ED"/>
    <w:rsid w:val="00AA055D"/>
    <w:rsid w:val="00AA0EA9"/>
    <w:rsid w:val="00AA1DC9"/>
    <w:rsid w:val="00AA222B"/>
    <w:rsid w:val="00AA2F76"/>
    <w:rsid w:val="00AA36C3"/>
    <w:rsid w:val="00AA3CEC"/>
    <w:rsid w:val="00AA5327"/>
    <w:rsid w:val="00AA5B9E"/>
    <w:rsid w:val="00AA5DE9"/>
    <w:rsid w:val="00AA6977"/>
    <w:rsid w:val="00AA6B02"/>
    <w:rsid w:val="00AA6B43"/>
    <w:rsid w:val="00AA7CA6"/>
    <w:rsid w:val="00AB02D0"/>
    <w:rsid w:val="00AB0C0A"/>
    <w:rsid w:val="00AB1517"/>
    <w:rsid w:val="00AB24FA"/>
    <w:rsid w:val="00AB2B15"/>
    <w:rsid w:val="00AB2BD5"/>
    <w:rsid w:val="00AB3062"/>
    <w:rsid w:val="00AB4888"/>
    <w:rsid w:val="00AB49E1"/>
    <w:rsid w:val="00AB4C0D"/>
    <w:rsid w:val="00AB4F5C"/>
    <w:rsid w:val="00AB55B2"/>
    <w:rsid w:val="00AB5CDA"/>
    <w:rsid w:val="00AB63C1"/>
    <w:rsid w:val="00AB6F5D"/>
    <w:rsid w:val="00AB6FDA"/>
    <w:rsid w:val="00AC0389"/>
    <w:rsid w:val="00AC0E57"/>
    <w:rsid w:val="00AC0EBC"/>
    <w:rsid w:val="00AC1443"/>
    <w:rsid w:val="00AC156B"/>
    <w:rsid w:val="00AC39B1"/>
    <w:rsid w:val="00AC3F0A"/>
    <w:rsid w:val="00AC4E38"/>
    <w:rsid w:val="00AC510D"/>
    <w:rsid w:val="00AC645A"/>
    <w:rsid w:val="00AC6C64"/>
    <w:rsid w:val="00AC70F5"/>
    <w:rsid w:val="00AC7A9E"/>
    <w:rsid w:val="00AD087D"/>
    <w:rsid w:val="00AD1682"/>
    <w:rsid w:val="00AD2D09"/>
    <w:rsid w:val="00AD34EE"/>
    <w:rsid w:val="00AD3D4C"/>
    <w:rsid w:val="00AD48BE"/>
    <w:rsid w:val="00AD53BE"/>
    <w:rsid w:val="00AD67D0"/>
    <w:rsid w:val="00AD7739"/>
    <w:rsid w:val="00AD7E43"/>
    <w:rsid w:val="00AE01E3"/>
    <w:rsid w:val="00AE1E24"/>
    <w:rsid w:val="00AE1FBF"/>
    <w:rsid w:val="00AE2131"/>
    <w:rsid w:val="00AE292F"/>
    <w:rsid w:val="00AE3CFF"/>
    <w:rsid w:val="00AE3F13"/>
    <w:rsid w:val="00AE5094"/>
    <w:rsid w:val="00AE539C"/>
    <w:rsid w:val="00AE5689"/>
    <w:rsid w:val="00AE5F53"/>
    <w:rsid w:val="00AE5F62"/>
    <w:rsid w:val="00AE6881"/>
    <w:rsid w:val="00AE78D2"/>
    <w:rsid w:val="00AE7D5D"/>
    <w:rsid w:val="00AF297E"/>
    <w:rsid w:val="00AF29B3"/>
    <w:rsid w:val="00AF32F4"/>
    <w:rsid w:val="00AF42D2"/>
    <w:rsid w:val="00AF4E11"/>
    <w:rsid w:val="00AF5EAD"/>
    <w:rsid w:val="00AF64BB"/>
    <w:rsid w:val="00AF7222"/>
    <w:rsid w:val="00AF752C"/>
    <w:rsid w:val="00B004BB"/>
    <w:rsid w:val="00B008F1"/>
    <w:rsid w:val="00B00BC4"/>
    <w:rsid w:val="00B01751"/>
    <w:rsid w:val="00B01A11"/>
    <w:rsid w:val="00B01BB3"/>
    <w:rsid w:val="00B021B8"/>
    <w:rsid w:val="00B02B2E"/>
    <w:rsid w:val="00B0316B"/>
    <w:rsid w:val="00B04A74"/>
    <w:rsid w:val="00B05BCB"/>
    <w:rsid w:val="00B0646C"/>
    <w:rsid w:val="00B1139D"/>
    <w:rsid w:val="00B126E8"/>
    <w:rsid w:val="00B12828"/>
    <w:rsid w:val="00B12CDD"/>
    <w:rsid w:val="00B12DDB"/>
    <w:rsid w:val="00B1351E"/>
    <w:rsid w:val="00B13C55"/>
    <w:rsid w:val="00B144F1"/>
    <w:rsid w:val="00B146D1"/>
    <w:rsid w:val="00B147D8"/>
    <w:rsid w:val="00B14A94"/>
    <w:rsid w:val="00B15523"/>
    <w:rsid w:val="00B1583B"/>
    <w:rsid w:val="00B166F0"/>
    <w:rsid w:val="00B16E7A"/>
    <w:rsid w:val="00B17A3C"/>
    <w:rsid w:val="00B17C3D"/>
    <w:rsid w:val="00B208CB"/>
    <w:rsid w:val="00B20C2A"/>
    <w:rsid w:val="00B218FD"/>
    <w:rsid w:val="00B2238F"/>
    <w:rsid w:val="00B23575"/>
    <w:rsid w:val="00B241B0"/>
    <w:rsid w:val="00B2474A"/>
    <w:rsid w:val="00B25732"/>
    <w:rsid w:val="00B26B45"/>
    <w:rsid w:val="00B26DC1"/>
    <w:rsid w:val="00B271E9"/>
    <w:rsid w:val="00B30C9F"/>
    <w:rsid w:val="00B31213"/>
    <w:rsid w:val="00B32483"/>
    <w:rsid w:val="00B32B53"/>
    <w:rsid w:val="00B32C9B"/>
    <w:rsid w:val="00B33531"/>
    <w:rsid w:val="00B33B0A"/>
    <w:rsid w:val="00B33F39"/>
    <w:rsid w:val="00B33F6D"/>
    <w:rsid w:val="00B34A7F"/>
    <w:rsid w:val="00B3511A"/>
    <w:rsid w:val="00B3532F"/>
    <w:rsid w:val="00B361E8"/>
    <w:rsid w:val="00B36774"/>
    <w:rsid w:val="00B43815"/>
    <w:rsid w:val="00B44B4E"/>
    <w:rsid w:val="00B44E19"/>
    <w:rsid w:val="00B44F1C"/>
    <w:rsid w:val="00B45079"/>
    <w:rsid w:val="00B457C4"/>
    <w:rsid w:val="00B45C2A"/>
    <w:rsid w:val="00B46380"/>
    <w:rsid w:val="00B46689"/>
    <w:rsid w:val="00B46AD1"/>
    <w:rsid w:val="00B529CA"/>
    <w:rsid w:val="00B52F3B"/>
    <w:rsid w:val="00B53C8D"/>
    <w:rsid w:val="00B53FB0"/>
    <w:rsid w:val="00B541D8"/>
    <w:rsid w:val="00B54DD8"/>
    <w:rsid w:val="00B55BD2"/>
    <w:rsid w:val="00B56284"/>
    <w:rsid w:val="00B57B1A"/>
    <w:rsid w:val="00B57F92"/>
    <w:rsid w:val="00B60089"/>
    <w:rsid w:val="00B6184A"/>
    <w:rsid w:val="00B6186B"/>
    <w:rsid w:val="00B62CEF"/>
    <w:rsid w:val="00B6375E"/>
    <w:rsid w:val="00B63B79"/>
    <w:rsid w:val="00B63CC4"/>
    <w:rsid w:val="00B64F64"/>
    <w:rsid w:val="00B65A9A"/>
    <w:rsid w:val="00B669EB"/>
    <w:rsid w:val="00B66CF4"/>
    <w:rsid w:val="00B66F9A"/>
    <w:rsid w:val="00B67337"/>
    <w:rsid w:val="00B67E95"/>
    <w:rsid w:val="00B70049"/>
    <w:rsid w:val="00B70872"/>
    <w:rsid w:val="00B70FCF"/>
    <w:rsid w:val="00B71325"/>
    <w:rsid w:val="00B717B2"/>
    <w:rsid w:val="00B73BB8"/>
    <w:rsid w:val="00B8004A"/>
    <w:rsid w:val="00B8066A"/>
    <w:rsid w:val="00B80CBC"/>
    <w:rsid w:val="00B8182D"/>
    <w:rsid w:val="00B81B0D"/>
    <w:rsid w:val="00B83350"/>
    <w:rsid w:val="00B83C85"/>
    <w:rsid w:val="00B83CDD"/>
    <w:rsid w:val="00B847ED"/>
    <w:rsid w:val="00B84CBA"/>
    <w:rsid w:val="00B8508B"/>
    <w:rsid w:val="00B859DE"/>
    <w:rsid w:val="00B85E86"/>
    <w:rsid w:val="00B86420"/>
    <w:rsid w:val="00B86DF0"/>
    <w:rsid w:val="00B87F45"/>
    <w:rsid w:val="00B90343"/>
    <w:rsid w:val="00B9066E"/>
    <w:rsid w:val="00B90F57"/>
    <w:rsid w:val="00B91904"/>
    <w:rsid w:val="00B92808"/>
    <w:rsid w:val="00B92C9F"/>
    <w:rsid w:val="00B9340B"/>
    <w:rsid w:val="00B93B8D"/>
    <w:rsid w:val="00B94534"/>
    <w:rsid w:val="00B946B0"/>
    <w:rsid w:val="00B94A9B"/>
    <w:rsid w:val="00B95557"/>
    <w:rsid w:val="00B95AD7"/>
    <w:rsid w:val="00B961FA"/>
    <w:rsid w:val="00B964D0"/>
    <w:rsid w:val="00B9673A"/>
    <w:rsid w:val="00B96BF7"/>
    <w:rsid w:val="00B977B7"/>
    <w:rsid w:val="00B97905"/>
    <w:rsid w:val="00BA02FD"/>
    <w:rsid w:val="00BA21EC"/>
    <w:rsid w:val="00BA2619"/>
    <w:rsid w:val="00BA2EEF"/>
    <w:rsid w:val="00BA3734"/>
    <w:rsid w:val="00BA499D"/>
    <w:rsid w:val="00BA49FE"/>
    <w:rsid w:val="00BA5AE2"/>
    <w:rsid w:val="00BA5C7A"/>
    <w:rsid w:val="00BA64C6"/>
    <w:rsid w:val="00BA7BF5"/>
    <w:rsid w:val="00BB00E3"/>
    <w:rsid w:val="00BB0989"/>
    <w:rsid w:val="00BB213F"/>
    <w:rsid w:val="00BB30EC"/>
    <w:rsid w:val="00BB3AA4"/>
    <w:rsid w:val="00BB411F"/>
    <w:rsid w:val="00BB49CB"/>
    <w:rsid w:val="00BB4DFB"/>
    <w:rsid w:val="00BB600E"/>
    <w:rsid w:val="00BB616D"/>
    <w:rsid w:val="00BB6AC4"/>
    <w:rsid w:val="00BB6C7B"/>
    <w:rsid w:val="00BB71B5"/>
    <w:rsid w:val="00BB7236"/>
    <w:rsid w:val="00BC06E1"/>
    <w:rsid w:val="00BC0FAE"/>
    <w:rsid w:val="00BC1081"/>
    <w:rsid w:val="00BC10B7"/>
    <w:rsid w:val="00BC138D"/>
    <w:rsid w:val="00BC3365"/>
    <w:rsid w:val="00BC342B"/>
    <w:rsid w:val="00BC4B83"/>
    <w:rsid w:val="00BC4D06"/>
    <w:rsid w:val="00BC4EB7"/>
    <w:rsid w:val="00BC4F48"/>
    <w:rsid w:val="00BC5172"/>
    <w:rsid w:val="00BC55AE"/>
    <w:rsid w:val="00BD1647"/>
    <w:rsid w:val="00BD2507"/>
    <w:rsid w:val="00BD2547"/>
    <w:rsid w:val="00BD31B8"/>
    <w:rsid w:val="00BD6ED6"/>
    <w:rsid w:val="00BD7938"/>
    <w:rsid w:val="00BE09EC"/>
    <w:rsid w:val="00BE2624"/>
    <w:rsid w:val="00BE444A"/>
    <w:rsid w:val="00BE4F0B"/>
    <w:rsid w:val="00BE5046"/>
    <w:rsid w:val="00BE5FD7"/>
    <w:rsid w:val="00BE6161"/>
    <w:rsid w:val="00BE7E07"/>
    <w:rsid w:val="00BF2056"/>
    <w:rsid w:val="00BF39EE"/>
    <w:rsid w:val="00BF4442"/>
    <w:rsid w:val="00BF531D"/>
    <w:rsid w:val="00BF53B9"/>
    <w:rsid w:val="00BF5A8F"/>
    <w:rsid w:val="00BF5AFC"/>
    <w:rsid w:val="00BF6588"/>
    <w:rsid w:val="00BF7BDA"/>
    <w:rsid w:val="00C00B28"/>
    <w:rsid w:val="00C01356"/>
    <w:rsid w:val="00C01851"/>
    <w:rsid w:val="00C020B9"/>
    <w:rsid w:val="00C02E35"/>
    <w:rsid w:val="00C03012"/>
    <w:rsid w:val="00C033BC"/>
    <w:rsid w:val="00C041A5"/>
    <w:rsid w:val="00C04E51"/>
    <w:rsid w:val="00C050B9"/>
    <w:rsid w:val="00C05383"/>
    <w:rsid w:val="00C06637"/>
    <w:rsid w:val="00C06A31"/>
    <w:rsid w:val="00C06A42"/>
    <w:rsid w:val="00C077E8"/>
    <w:rsid w:val="00C07B1D"/>
    <w:rsid w:val="00C07ECC"/>
    <w:rsid w:val="00C07F9B"/>
    <w:rsid w:val="00C10C00"/>
    <w:rsid w:val="00C11D63"/>
    <w:rsid w:val="00C127A1"/>
    <w:rsid w:val="00C127AB"/>
    <w:rsid w:val="00C12937"/>
    <w:rsid w:val="00C153E5"/>
    <w:rsid w:val="00C1546B"/>
    <w:rsid w:val="00C15955"/>
    <w:rsid w:val="00C15CCF"/>
    <w:rsid w:val="00C16FC3"/>
    <w:rsid w:val="00C1738E"/>
    <w:rsid w:val="00C210F7"/>
    <w:rsid w:val="00C22220"/>
    <w:rsid w:val="00C2231F"/>
    <w:rsid w:val="00C23294"/>
    <w:rsid w:val="00C2329C"/>
    <w:rsid w:val="00C235D8"/>
    <w:rsid w:val="00C23AF6"/>
    <w:rsid w:val="00C23DA8"/>
    <w:rsid w:val="00C24482"/>
    <w:rsid w:val="00C249C2"/>
    <w:rsid w:val="00C24A4F"/>
    <w:rsid w:val="00C25811"/>
    <w:rsid w:val="00C2639B"/>
    <w:rsid w:val="00C26CC2"/>
    <w:rsid w:val="00C301D2"/>
    <w:rsid w:val="00C30D09"/>
    <w:rsid w:val="00C31529"/>
    <w:rsid w:val="00C31666"/>
    <w:rsid w:val="00C32BB8"/>
    <w:rsid w:val="00C32C36"/>
    <w:rsid w:val="00C34ACF"/>
    <w:rsid w:val="00C351B3"/>
    <w:rsid w:val="00C35CF9"/>
    <w:rsid w:val="00C35D22"/>
    <w:rsid w:val="00C36064"/>
    <w:rsid w:val="00C3718A"/>
    <w:rsid w:val="00C374EF"/>
    <w:rsid w:val="00C405FB"/>
    <w:rsid w:val="00C40E5B"/>
    <w:rsid w:val="00C42AA6"/>
    <w:rsid w:val="00C42B20"/>
    <w:rsid w:val="00C43A07"/>
    <w:rsid w:val="00C44DAA"/>
    <w:rsid w:val="00C4615C"/>
    <w:rsid w:val="00C46B3A"/>
    <w:rsid w:val="00C50C39"/>
    <w:rsid w:val="00C5101F"/>
    <w:rsid w:val="00C512DA"/>
    <w:rsid w:val="00C5151C"/>
    <w:rsid w:val="00C526B1"/>
    <w:rsid w:val="00C52CAB"/>
    <w:rsid w:val="00C535C3"/>
    <w:rsid w:val="00C54659"/>
    <w:rsid w:val="00C54A28"/>
    <w:rsid w:val="00C5586A"/>
    <w:rsid w:val="00C55BBA"/>
    <w:rsid w:val="00C56102"/>
    <w:rsid w:val="00C561B5"/>
    <w:rsid w:val="00C5748D"/>
    <w:rsid w:val="00C61595"/>
    <w:rsid w:val="00C62E3C"/>
    <w:rsid w:val="00C63458"/>
    <w:rsid w:val="00C63849"/>
    <w:rsid w:val="00C63B38"/>
    <w:rsid w:val="00C65187"/>
    <w:rsid w:val="00C6569A"/>
    <w:rsid w:val="00C65CF1"/>
    <w:rsid w:val="00C65F31"/>
    <w:rsid w:val="00C70D35"/>
    <w:rsid w:val="00C71E6D"/>
    <w:rsid w:val="00C72798"/>
    <w:rsid w:val="00C72A23"/>
    <w:rsid w:val="00C74BDF"/>
    <w:rsid w:val="00C766D4"/>
    <w:rsid w:val="00C77CE2"/>
    <w:rsid w:val="00C77FD8"/>
    <w:rsid w:val="00C80A6D"/>
    <w:rsid w:val="00C810BB"/>
    <w:rsid w:val="00C82513"/>
    <w:rsid w:val="00C83475"/>
    <w:rsid w:val="00C838E3"/>
    <w:rsid w:val="00C83F6C"/>
    <w:rsid w:val="00C85288"/>
    <w:rsid w:val="00C862B5"/>
    <w:rsid w:val="00C8632F"/>
    <w:rsid w:val="00C870F8"/>
    <w:rsid w:val="00C8765D"/>
    <w:rsid w:val="00C87A06"/>
    <w:rsid w:val="00C87C95"/>
    <w:rsid w:val="00C87D44"/>
    <w:rsid w:val="00C87E9A"/>
    <w:rsid w:val="00C90AA8"/>
    <w:rsid w:val="00C912F2"/>
    <w:rsid w:val="00C92ED1"/>
    <w:rsid w:val="00C93803"/>
    <w:rsid w:val="00C946D8"/>
    <w:rsid w:val="00C95CB0"/>
    <w:rsid w:val="00C96015"/>
    <w:rsid w:val="00C96D81"/>
    <w:rsid w:val="00C974EF"/>
    <w:rsid w:val="00CA0B4E"/>
    <w:rsid w:val="00CA0EC2"/>
    <w:rsid w:val="00CA1802"/>
    <w:rsid w:val="00CA31EE"/>
    <w:rsid w:val="00CA5058"/>
    <w:rsid w:val="00CA50A2"/>
    <w:rsid w:val="00CA5519"/>
    <w:rsid w:val="00CA5A04"/>
    <w:rsid w:val="00CA5B3D"/>
    <w:rsid w:val="00CA5EA1"/>
    <w:rsid w:val="00CA6240"/>
    <w:rsid w:val="00CA7349"/>
    <w:rsid w:val="00CA74BE"/>
    <w:rsid w:val="00CA76BC"/>
    <w:rsid w:val="00CA77D0"/>
    <w:rsid w:val="00CA7BA9"/>
    <w:rsid w:val="00CB016F"/>
    <w:rsid w:val="00CB0941"/>
    <w:rsid w:val="00CB0A0E"/>
    <w:rsid w:val="00CB27D0"/>
    <w:rsid w:val="00CB2E30"/>
    <w:rsid w:val="00CB30EA"/>
    <w:rsid w:val="00CB33FD"/>
    <w:rsid w:val="00CB4874"/>
    <w:rsid w:val="00CB4C24"/>
    <w:rsid w:val="00CB4C77"/>
    <w:rsid w:val="00CB4DC6"/>
    <w:rsid w:val="00CB5002"/>
    <w:rsid w:val="00CB60F5"/>
    <w:rsid w:val="00CB6134"/>
    <w:rsid w:val="00CB6401"/>
    <w:rsid w:val="00CB65AA"/>
    <w:rsid w:val="00CC0742"/>
    <w:rsid w:val="00CC2FDA"/>
    <w:rsid w:val="00CC34B3"/>
    <w:rsid w:val="00CC490B"/>
    <w:rsid w:val="00CC589A"/>
    <w:rsid w:val="00CC5948"/>
    <w:rsid w:val="00CC5DC8"/>
    <w:rsid w:val="00CC6BA1"/>
    <w:rsid w:val="00CD0610"/>
    <w:rsid w:val="00CD104D"/>
    <w:rsid w:val="00CD1D45"/>
    <w:rsid w:val="00CD293B"/>
    <w:rsid w:val="00CD560E"/>
    <w:rsid w:val="00CD5BE5"/>
    <w:rsid w:val="00CE263C"/>
    <w:rsid w:val="00CE2BEE"/>
    <w:rsid w:val="00CE3635"/>
    <w:rsid w:val="00CE37A0"/>
    <w:rsid w:val="00CE38FC"/>
    <w:rsid w:val="00CE39E7"/>
    <w:rsid w:val="00CE4EC2"/>
    <w:rsid w:val="00CE5779"/>
    <w:rsid w:val="00CE5D7D"/>
    <w:rsid w:val="00CE7BBA"/>
    <w:rsid w:val="00CF0C42"/>
    <w:rsid w:val="00CF195B"/>
    <w:rsid w:val="00CF2816"/>
    <w:rsid w:val="00CF34A2"/>
    <w:rsid w:val="00CF5F67"/>
    <w:rsid w:val="00CF60EC"/>
    <w:rsid w:val="00CF6120"/>
    <w:rsid w:val="00CF6FFB"/>
    <w:rsid w:val="00CF71F2"/>
    <w:rsid w:val="00CF7589"/>
    <w:rsid w:val="00CF77D4"/>
    <w:rsid w:val="00D004F0"/>
    <w:rsid w:val="00D0086A"/>
    <w:rsid w:val="00D02253"/>
    <w:rsid w:val="00D0248D"/>
    <w:rsid w:val="00D02C2B"/>
    <w:rsid w:val="00D030FA"/>
    <w:rsid w:val="00D0438E"/>
    <w:rsid w:val="00D04A1B"/>
    <w:rsid w:val="00D04AF9"/>
    <w:rsid w:val="00D04CE4"/>
    <w:rsid w:val="00D04F4C"/>
    <w:rsid w:val="00D061CA"/>
    <w:rsid w:val="00D06999"/>
    <w:rsid w:val="00D069BC"/>
    <w:rsid w:val="00D07F42"/>
    <w:rsid w:val="00D07FB9"/>
    <w:rsid w:val="00D102C9"/>
    <w:rsid w:val="00D10347"/>
    <w:rsid w:val="00D1059C"/>
    <w:rsid w:val="00D1076B"/>
    <w:rsid w:val="00D1151D"/>
    <w:rsid w:val="00D119E8"/>
    <w:rsid w:val="00D12035"/>
    <w:rsid w:val="00D123B6"/>
    <w:rsid w:val="00D14879"/>
    <w:rsid w:val="00D1601B"/>
    <w:rsid w:val="00D16EA9"/>
    <w:rsid w:val="00D1702D"/>
    <w:rsid w:val="00D203A8"/>
    <w:rsid w:val="00D210BC"/>
    <w:rsid w:val="00D2245A"/>
    <w:rsid w:val="00D22917"/>
    <w:rsid w:val="00D2308B"/>
    <w:rsid w:val="00D23521"/>
    <w:rsid w:val="00D23B92"/>
    <w:rsid w:val="00D23FDF"/>
    <w:rsid w:val="00D24017"/>
    <w:rsid w:val="00D246F7"/>
    <w:rsid w:val="00D250F4"/>
    <w:rsid w:val="00D26053"/>
    <w:rsid w:val="00D26CA4"/>
    <w:rsid w:val="00D27C3E"/>
    <w:rsid w:val="00D303FB"/>
    <w:rsid w:val="00D321C8"/>
    <w:rsid w:val="00D340A5"/>
    <w:rsid w:val="00D340C5"/>
    <w:rsid w:val="00D34141"/>
    <w:rsid w:val="00D34E05"/>
    <w:rsid w:val="00D3583A"/>
    <w:rsid w:val="00D435C6"/>
    <w:rsid w:val="00D4554C"/>
    <w:rsid w:val="00D45587"/>
    <w:rsid w:val="00D45977"/>
    <w:rsid w:val="00D45D1D"/>
    <w:rsid w:val="00D45ED0"/>
    <w:rsid w:val="00D45F10"/>
    <w:rsid w:val="00D45FD9"/>
    <w:rsid w:val="00D467AA"/>
    <w:rsid w:val="00D5082A"/>
    <w:rsid w:val="00D50B04"/>
    <w:rsid w:val="00D51117"/>
    <w:rsid w:val="00D52B56"/>
    <w:rsid w:val="00D52F29"/>
    <w:rsid w:val="00D53A3E"/>
    <w:rsid w:val="00D5416E"/>
    <w:rsid w:val="00D54273"/>
    <w:rsid w:val="00D553BA"/>
    <w:rsid w:val="00D5699B"/>
    <w:rsid w:val="00D626FB"/>
    <w:rsid w:val="00D62A54"/>
    <w:rsid w:val="00D62B53"/>
    <w:rsid w:val="00D64902"/>
    <w:rsid w:val="00D64A15"/>
    <w:rsid w:val="00D65181"/>
    <w:rsid w:val="00D66327"/>
    <w:rsid w:val="00D66F29"/>
    <w:rsid w:val="00D673F5"/>
    <w:rsid w:val="00D70051"/>
    <w:rsid w:val="00D70410"/>
    <w:rsid w:val="00D7055E"/>
    <w:rsid w:val="00D72503"/>
    <w:rsid w:val="00D73FB6"/>
    <w:rsid w:val="00D75B21"/>
    <w:rsid w:val="00D807B2"/>
    <w:rsid w:val="00D80AF2"/>
    <w:rsid w:val="00D81DAA"/>
    <w:rsid w:val="00D828C9"/>
    <w:rsid w:val="00D82E99"/>
    <w:rsid w:val="00D82F24"/>
    <w:rsid w:val="00D83B91"/>
    <w:rsid w:val="00D84363"/>
    <w:rsid w:val="00D85D15"/>
    <w:rsid w:val="00D869EA"/>
    <w:rsid w:val="00D87861"/>
    <w:rsid w:val="00D87CBA"/>
    <w:rsid w:val="00D90B84"/>
    <w:rsid w:val="00D90D66"/>
    <w:rsid w:val="00D9103E"/>
    <w:rsid w:val="00D924EF"/>
    <w:rsid w:val="00D925BD"/>
    <w:rsid w:val="00D92A43"/>
    <w:rsid w:val="00D94A97"/>
    <w:rsid w:val="00D958FF"/>
    <w:rsid w:val="00D9796B"/>
    <w:rsid w:val="00DA0EF9"/>
    <w:rsid w:val="00DA1064"/>
    <w:rsid w:val="00DA176D"/>
    <w:rsid w:val="00DA2C26"/>
    <w:rsid w:val="00DA2F16"/>
    <w:rsid w:val="00DA3189"/>
    <w:rsid w:val="00DA34DE"/>
    <w:rsid w:val="00DA5530"/>
    <w:rsid w:val="00DA5898"/>
    <w:rsid w:val="00DA5B9D"/>
    <w:rsid w:val="00DA65E9"/>
    <w:rsid w:val="00DA760B"/>
    <w:rsid w:val="00DA77BD"/>
    <w:rsid w:val="00DB104B"/>
    <w:rsid w:val="00DB2BB2"/>
    <w:rsid w:val="00DB3DD7"/>
    <w:rsid w:val="00DB51BA"/>
    <w:rsid w:val="00DB584F"/>
    <w:rsid w:val="00DB5C58"/>
    <w:rsid w:val="00DB5E2E"/>
    <w:rsid w:val="00DB5EE2"/>
    <w:rsid w:val="00DB6970"/>
    <w:rsid w:val="00DB6EC6"/>
    <w:rsid w:val="00DB7B92"/>
    <w:rsid w:val="00DB7C81"/>
    <w:rsid w:val="00DC062E"/>
    <w:rsid w:val="00DC1A47"/>
    <w:rsid w:val="00DC2638"/>
    <w:rsid w:val="00DC2F4C"/>
    <w:rsid w:val="00DC2FF7"/>
    <w:rsid w:val="00DC32FD"/>
    <w:rsid w:val="00DC39B6"/>
    <w:rsid w:val="00DC3A65"/>
    <w:rsid w:val="00DC3B06"/>
    <w:rsid w:val="00DC4E86"/>
    <w:rsid w:val="00DC5401"/>
    <w:rsid w:val="00DC56E2"/>
    <w:rsid w:val="00DC5CF0"/>
    <w:rsid w:val="00DC6B4E"/>
    <w:rsid w:val="00DC6E7C"/>
    <w:rsid w:val="00DC6FA1"/>
    <w:rsid w:val="00DC747E"/>
    <w:rsid w:val="00DC7BCC"/>
    <w:rsid w:val="00DC7C6C"/>
    <w:rsid w:val="00DD0482"/>
    <w:rsid w:val="00DD09E9"/>
    <w:rsid w:val="00DD0DB6"/>
    <w:rsid w:val="00DD2A53"/>
    <w:rsid w:val="00DD3A4C"/>
    <w:rsid w:val="00DD5DA9"/>
    <w:rsid w:val="00DD6ECD"/>
    <w:rsid w:val="00DD7215"/>
    <w:rsid w:val="00DD7933"/>
    <w:rsid w:val="00DE29F3"/>
    <w:rsid w:val="00DE2A22"/>
    <w:rsid w:val="00DE2EA7"/>
    <w:rsid w:val="00DE353E"/>
    <w:rsid w:val="00DE6CBA"/>
    <w:rsid w:val="00DF097C"/>
    <w:rsid w:val="00DF247E"/>
    <w:rsid w:val="00DF324E"/>
    <w:rsid w:val="00DF335A"/>
    <w:rsid w:val="00DF3377"/>
    <w:rsid w:val="00DF51C2"/>
    <w:rsid w:val="00E0013A"/>
    <w:rsid w:val="00E01AB4"/>
    <w:rsid w:val="00E022DB"/>
    <w:rsid w:val="00E02E21"/>
    <w:rsid w:val="00E034E8"/>
    <w:rsid w:val="00E0394B"/>
    <w:rsid w:val="00E040FE"/>
    <w:rsid w:val="00E04221"/>
    <w:rsid w:val="00E043DB"/>
    <w:rsid w:val="00E06283"/>
    <w:rsid w:val="00E06433"/>
    <w:rsid w:val="00E06F69"/>
    <w:rsid w:val="00E07517"/>
    <w:rsid w:val="00E106B8"/>
    <w:rsid w:val="00E14C69"/>
    <w:rsid w:val="00E14F4C"/>
    <w:rsid w:val="00E156EB"/>
    <w:rsid w:val="00E157FF"/>
    <w:rsid w:val="00E15BFC"/>
    <w:rsid w:val="00E15FC4"/>
    <w:rsid w:val="00E160CC"/>
    <w:rsid w:val="00E16CA5"/>
    <w:rsid w:val="00E17107"/>
    <w:rsid w:val="00E206FE"/>
    <w:rsid w:val="00E2124D"/>
    <w:rsid w:val="00E21730"/>
    <w:rsid w:val="00E21F59"/>
    <w:rsid w:val="00E228D7"/>
    <w:rsid w:val="00E229C9"/>
    <w:rsid w:val="00E23462"/>
    <w:rsid w:val="00E23941"/>
    <w:rsid w:val="00E23B2F"/>
    <w:rsid w:val="00E23C58"/>
    <w:rsid w:val="00E246BF"/>
    <w:rsid w:val="00E2594A"/>
    <w:rsid w:val="00E25A8D"/>
    <w:rsid w:val="00E2626C"/>
    <w:rsid w:val="00E26C80"/>
    <w:rsid w:val="00E2705F"/>
    <w:rsid w:val="00E2706F"/>
    <w:rsid w:val="00E273E7"/>
    <w:rsid w:val="00E27872"/>
    <w:rsid w:val="00E30066"/>
    <w:rsid w:val="00E30447"/>
    <w:rsid w:val="00E30C7E"/>
    <w:rsid w:val="00E31EEE"/>
    <w:rsid w:val="00E3308A"/>
    <w:rsid w:val="00E330F8"/>
    <w:rsid w:val="00E33FEA"/>
    <w:rsid w:val="00E34B1C"/>
    <w:rsid w:val="00E359EB"/>
    <w:rsid w:val="00E368F3"/>
    <w:rsid w:val="00E37668"/>
    <w:rsid w:val="00E37F17"/>
    <w:rsid w:val="00E40963"/>
    <w:rsid w:val="00E40F83"/>
    <w:rsid w:val="00E41580"/>
    <w:rsid w:val="00E42184"/>
    <w:rsid w:val="00E428A9"/>
    <w:rsid w:val="00E444C7"/>
    <w:rsid w:val="00E457F3"/>
    <w:rsid w:val="00E478C5"/>
    <w:rsid w:val="00E528A1"/>
    <w:rsid w:val="00E5387D"/>
    <w:rsid w:val="00E550BD"/>
    <w:rsid w:val="00E561A1"/>
    <w:rsid w:val="00E600AC"/>
    <w:rsid w:val="00E61627"/>
    <w:rsid w:val="00E61D00"/>
    <w:rsid w:val="00E624ED"/>
    <w:rsid w:val="00E628A0"/>
    <w:rsid w:val="00E6324E"/>
    <w:rsid w:val="00E6411B"/>
    <w:rsid w:val="00E65094"/>
    <w:rsid w:val="00E6518D"/>
    <w:rsid w:val="00E65892"/>
    <w:rsid w:val="00E65FDC"/>
    <w:rsid w:val="00E66E40"/>
    <w:rsid w:val="00E7091E"/>
    <w:rsid w:val="00E7107A"/>
    <w:rsid w:val="00E71DB6"/>
    <w:rsid w:val="00E724E1"/>
    <w:rsid w:val="00E725D9"/>
    <w:rsid w:val="00E72CFD"/>
    <w:rsid w:val="00E744E9"/>
    <w:rsid w:val="00E74E9F"/>
    <w:rsid w:val="00E76818"/>
    <w:rsid w:val="00E76F87"/>
    <w:rsid w:val="00E77B9A"/>
    <w:rsid w:val="00E810B8"/>
    <w:rsid w:val="00E823CA"/>
    <w:rsid w:val="00E82E3A"/>
    <w:rsid w:val="00E832CB"/>
    <w:rsid w:val="00E83A17"/>
    <w:rsid w:val="00E86139"/>
    <w:rsid w:val="00E87129"/>
    <w:rsid w:val="00E875B5"/>
    <w:rsid w:val="00E87DFD"/>
    <w:rsid w:val="00E90933"/>
    <w:rsid w:val="00E90960"/>
    <w:rsid w:val="00E92514"/>
    <w:rsid w:val="00E92F51"/>
    <w:rsid w:val="00E936E2"/>
    <w:rsid w:val="00E93B28"/>
    <w:rsid w:val="00E97D54"/>
    <w:rsid w:val="00E97DD5"/>
    <w:rsid w:val="00EA0FB9"/>
    <w:rsid w:val="00EA1364"/>
    <w:rsid w:val="00EA192E"/>
    <w:rsid w:val="00EA2852"/>
    <w:rsid w:val="00EA3867"/>
    <w:rsid w:val="00EA3B6C"/>
    <w:rsid w:val="00EA4C4F"/>
    <w:rsid w:val="00EA5E64"/>
    <w:rsid w:val="00EB073E"/>
    <w:rsid w:val="00EB1676"/>
    <w:rsid w:val="00EB29FA"/>
    <w:rsid w:val="00EB2C6F"/>
    <w:rsid w:val="00EB307F"/>
    <w:rsid w:val="00EB5086"/>
    <w:rsid w:val="00EB5C70"/>
    <w:rsid w:val="00EB6783"/>
    <w:rsid w:val="00EB6DD1"/>
    <w:rsid w:val="00EB7863"/>
    <w:rsid w:val="00EC03C7"/>
    <w:rsid w:val="00EC1373"/>
    <w:rsid w:val="00EC1CCC"/>
    <w:rsid w:val="00EC2308"/>
    <w:rsid w:val="00EC2A3F"/>
    <w:rsid w:val="00EC2DF1"/>
    <w:rsid w:val="00EC34EF"/>
    <w:rsid w:val="00EC3C63"/>
    <w:rsid w:val="00EC4070"/>
    <w:rsid w:val="00EC4156"/>
    <w:rsid w:val="00EC41CE"/>
    <w:rsid w:val="00EC4E0F"/>
    <w:rsid w:val="00EC7597"/>
    <w:rsid w:val="00EC7D68"/>
    <w:rsid w:val="00ED071A"/>
    <w:rsid w:val="00ED09FC"/>
    <w:rsid w:val="00ED0FD3"/>
    <w:rsid w:val="00ED1353"/>
    <w:rsid w:val="00ED2592"/>
    <w:rsid w:val="00ED3D3F"/>
    <w:rsid w:val="00ED492A"/>
    <w:rsid w:val="00ED5B53"/>
    <w:rsid w:val="00ED6052"/>
    <w:rsid w:val="00ED6A91"/>
    <w:rsid w:val="00ED6E2D"/>
    <w:rsid w:val="00EE0164"/>
    <w:rsid w:val="00EE0876"/>
    <w:rsid w:val="00EE0B1D"/>
    <w:rsid w:val="00EE1CEA"/>
    <w:rsid w:val="00EE2FF6"/>
    <w:rsid w:val="00EE342F"/>
    <w:rsid w:val="00EE38AC"/>
    <w:rsid w:val="00EE46BA"/>
    <w:rsid w:val="00EE5FC5"/>
    <w:rsid w:val="00EE64B9"/>
    <w:rsid w:val="00EE6861"/>
    <w:rsid w:val="00EE6B43"/>
    <w:rsid w:val="00EE7D8F"/>
    <w:rsid w:val="00EF032A"/>
    <w:rsid w:val="00EF048B"/>
    <w:rsid w:val="00EF12B0"/>
    <w:rsid w:val="00EF12F5"/>
    <w:rsid w:val="00EF139D"/>
    <w:rsid w:val="00EF2030"/>
    <w:rsid w:val="00EF2845"/>
    <w:rsid w:val="00EF2FE9"/>
    <w:rsid w:val="00EF5153"/>
    <w:rsid w:val="00EF53CF"/>
    <w:rsid w:val="00EF7887"/>
    <w:rsid w:val="00F00854"/>
    <w:rsid w:val="00F00D19"/>
    <w:rsid w:val="00F020B8"/>
    <w:rsid w:val="00F02AD5"/>
    <w:rsid w:val="00F04194"/>
    <w:rsid w:val="00F0455E"/>
    <w:rsid w:val="00F0506C"/>
    <w:rsid w:val="00F05CDF"/>
    <w:rsid w:val="00F060C1"/>
    <w:rsid w:val="00F060F0"/>
    <w:rsid w:val="00F06866"/>
    <w:rsid w:val="00F07E31"/>
    <w:rsid w:val="00F1026D"/>
    <w:rsid w:val="00F10762"/>
    <w:rsid w:val="00F11169"/>
    <w:rsid w:val="00F1241D"/>
    <w:rsid w:val="00F13136"/>
    <w:rsid w:val="00F13291"/>
    <w:rsid w:val="00F141DF"/>
    <w:rsid w:val="00F148ED"/>
    <w:rsid w:val="00F161FC"/>
    <w:rsid w:val="00F166BC"/>
    <w:rsid w:val="00F20BB1"/>
    <w:rsid w:val="00F20D0E"/>
    <w:rsid w:val="00F20F0A"/>
    <w:rsid w:val="00F2139B"/>
    <w:rsid w:val="00F226C3"/>
    <w:rsid w:val="00F22E12"/>
    <w:rsid w:val="00F308D4"/>
    <w:rsid w:val="00F327C8"/>
    <w:rsid w:val="00F36408"/>
    <w:rsid w:val="00F368A6"/>
    <w:rsid w:val="00F37639"/>
    <w:rsid w:val="00F37961"/>
    <w:rsid w:val="00F37BCA"/>
    <w:rsid w:val="00F4041A"/>
    <w:rsid w:val="00F41A20"/>
    <w:rsid w:val="00F41A43"/>
    <w:rsid w:val="00F41DAE"/>
    <w:rsid w:val="00F423AF"/>
    <w:rsid w:val="00F42622"/>
    <w:rsid w:val="00F426F0"/>
    <w:rsid w:val="00F4290F"/>
    <w:rsid w:val="00F432F0"/>
    <w:rsid w:val="00F436B8"/>
    <w:rsid w:val="00F4436D"/>
    <w:rsid w:val="00F45A2C"/>
    <w:rsid w:val="00F467EF"/>
    <w:rsid w:val="00F468DB"/>
    <w:rsid w:val="00F46E93"/>
    <w:rsid w:val="00F5079C"/>
    <w:rsid w:val="00F5151F"/>
    <w:rsid w:val="00F51828"/>
    <w:rsid w:val="00F51D45"/>
    <w:rsid w:val="00F51FEC"/>
    <w:rsid w:val="00F53618"/>
    <w:rsid w:val="00F53668"/>
    <w:rsid w:val="00F53987"/>
    <w:rsid w:val="00F53EFA"/>
    <w:rsid w:val="00F55A43"/>
    <w:rsid w:val="00F60D55"/>
    <w:rsid w:val="00F624FC"/>
    <w:rsid w:val="00F63310"/>
    <w:rsid w:val="00F63407"/>
    <w:rsid w:val="00F63DB7"/>
    <w:rsid w:val="00F647FC"/>
    <w:rsid w:val="00F64AE1"/>
    <w:rsid w:val="00F66073"/>
    <w:rsid w:val="00F662B9"/>
    <w:rsid w:val="00F6651C"/>
    <w:rsid w:val="00F6688D"/>
    <w:rsid w:val="00F66E8C"/>
    <w:rsid w:val="00F6713A"/>
    <w:rsid w:val="00F6742F"/>
    <w:rsid w:val="00F67BE6"/>
    <w:rsid w:val="00F709D7"/>
    <w:rsid w:val="00F71783"/>
    <w:rsid w:val="00F71C40"/>
    <w:rsid w:val="00F7348B"/>
    <w:rsid w:val="00F735EA"/>
    <w:rsid w:val="00F753E1"/>
    <w:rsid w:val="00F75440"/>
    <w:rsid w:val="00F756A9"/>
    <w:rsid w:val="00F770D6"/>
    <w:rsid w:val="00F777CC"/>
    <w:rsid w:val="00F800D4"/>
    <w:rsid w:val="00F806B7"/>
    <w:rsid w:val="00F808EE"/>
    <w:rsid w:val="00F80D1A"/>
    <w:rsid w:val="00F8172A"/>
    <w:rsid w:val="00F824F8"/>
    <w:rsid w:val="00F82F02"/>
    <w:rsid w:val="00F845BC"/>
    <w:rsid w:val="00F8503E"/>
    <w:rsid w:val="00F851DF"/>
    <w:rsid w:val="00F92FC3"/>
    <w:rsid w:val="00F94CDC"/>
    <w:rsid w:val="00F953D8"/>
    <w:rsid w:val="00F95AF9"/>
    <w:rsid w:val="00F962F4"/>
    <w:rsid w:val="00F96F31"/>
    <w:rsid w:val="00F96F61"/>
    <w:rsid w:val="00F97349"/>
    <w:rsid w:val="00F97BED"/>
    <w:rsid w:val="00FA0D96"/>
    <w:rsid w:val="00FA2248"/>
    <w:rsid w:val="00FA371A"/>
    <w:rsid w:val="00FA3E7D"/>
    <w:rsid w:val="00FA3F61"/>
    <w:rsid w:val="00FA4571"/>
    <w:rsid w:val="00FA4600"/>
    <w:rsid w:val="00FA4919"/>
    <w:rsid w:val="00FA5263"/>
    <w:rsid w:val="00FA65D1"/>
    <w:rsid w:val="00FA70BA"/>
    <w:rsid w:val="00FA787D"/>
    <w:rsid w:val="00FB139E"/>
    <w:rsid w:val="00FB1821"/>
    <w:rsid w:val="00FB2081"/>
    <w:rsid w:val="00FB3000"/>
    <w:rsid w:val="00FB4542"/>
    <w:rsid w:val="00FB4F32"/>
    <w:rsid w:val="00FB5563"/>
    <w:rsid w:val="00FB5B6C"/>
    <w:rsid w:val="00FB7451"/>
    <w:rsid w:val="00FB77D6"/>
    <w:rsid w:val="00FB7979"/>
    <w:rsid w:val="00FC0194"/>
    <w:rsid w:val="00FC0B20"/>
    <w:rsid w:val="00FC1429"/>
    <w:rsid w:val="00FC393F"/>
    <w:rsid w:val="00FC4A81"/>
    <w:rsid w:val="00FC4FB2"/>
    <w:rsid w:val="00FC55B8"/>
    <w:rsid w:val="00FC6A7D"/>
    <w:rsid w:val="00FC7C55"/>
    <w:rsid w:val="00FD1773"/>
    <w:rsid w:val="00FD27EC"/>
    <w:rsid w:val="00FD3148"/>
    <w:rsid w:val="00FD3176"/>
    <w:rsid w:val="00FD3ACD"/>
    <w:rsid w:val="00FD4CD0"/>
    <w:rsid w:val="00FD4E0F"/>
    <w:rsid w:val="00FD5043"/>
    <w:rsid w:val="00FD5D75"/>
    <w:rsid w:val="00FD5F42"/>
    <w:rsid w:val="00FD7068"/>
    <w:rsid w:val="00FD7976"/>
    <w:rsid w:val="00FE091A"/>
    <w:rsid w:val="00FE1073"/>
    <w:rsid w:val="00FE2D8E"/>
    <w:rsid w:val="00FE3891"/>
    <w:rsid w:val="00FE4512"/>
    <w:rsid w:val="00FE48F9"/>
    <w:rsid w:val="00FE79EC"/>
    <w:rsid w:val="00FE7CE3"/>
    <w:rsid w:val="00FF0612"/>
    <w:rsid w:val="00FF0880"/>
    <w:rsid w:val="00FF1078"/>
    <w:rsid w:val="00FF1775"/>
    <w:rsid w:val="00FF21D4"/>
    <w:rsid w:val="00FF233B"/>
    <w:rsid w:val="00FF2780"/>
    <w:rsid w:val="00FF3096"/>
    <w:rsid w:val="00FF3C65"/>
    <w:rsid w:val="00FF497B"/>
    <w:rsid w:val="00FF508D"/>
    <w:rsid w:val="00FF599B"/>
    <w:rsid w:val="00FF5E7B"/>
    <w:rsid w:val="00FF60E6"/>
    <w:rsid w:val="00FF669A"/>
    <w:rsid w:val="00FF7B8E"/>
    <w:rsid w:val="013166AF"/>
    <w:rsid w:val="01632DDE"/>
    <w:rsid w:val="01E9EAB1"/>
    <w:rsid w:val="02514C45"/>
    <w:rsid w:val="02633610"/>
    <w:rsid w:val="028A7FF0"/>
    <w:rsid w:val="02C90595"/>
    <w:rsid w:val="02F34438"/>
    <w:rsid w:val="03074F95"/>
    <w:rsid w:val="03684920"/>
    <w:rsid w:val="038C48BE"/>
    <w:rsid w:val="03931E3E"/>
    <w:rsid w:val="03BE3B0B"/>
    <w:rsid w:val="051E2855"/>
    <w:rsid w:val="05294933"/>
    <w:rsid w:val="053CA111"/>
    <w:rsid w:val="05E94D5C"/>
    <w:rsid w:val="05ED5C06"/>
    <w:rsid w:val="06101D90"/>
    <w:rsid w:val="06200313"/>
    <w:rsid w:val="067A5F0E"/>
    <w:rsid w:val="06B509A9"/>
    <w:rsid w:val="07065606"/>
    <w:rsid w:val="075C411F"/>
    <w:rsid w:val="076D15CF"/>
    <w:rsid w:val="07746E01"/>
    <w:rsid w:val="07786AEE"/>
    <w:rsid w:val="079355C8"/>
    <w:rsid w:val="099C619C"/>
    <w:rsid w:val="09B71193"/>
    <w:rsid w:val="09BC0B56"/>
    <w:rsid w:val="0A0E61E1"/>
    <w:rsid w:val="0A6E683D"/>
    <w:rsid w:val="0AD81455"/>
    <w:rsid w:val="0B273C43"/>
    <w:rsid w:val="0B685E6B"/>
    <w:rsid w:val="0BA80E28"/>
    <w:rsid w:val="0C480432"/>
    <w:rsid w:val="0CBB4B68"/>
    <w:rsid w:val="0CFE5E2F"/>
    <w:rsid w:val="0D842FBC"/>
    <w:rsid w:val="0DAE2CC9"/>
    <w:rsid w:val="0F242EBB"/>
    <w:rsid w:val="0F9D4B3A"/>
    <w:rsid w:val="0FCF408B"/>
    <w:rsid w:val="0FF31607"/>
    <w:rsid w:val="105F0B9E"/>
    <w:rsid w:val="10771D00"/>
    <w:rsid w:val="10CF32FA"/>
    <w:rsid w:val="10EE5733"/>
    <w:rsid w:val="13525B1D"/>
    <w:rsid w:val="13696936"/>
    <w:rsid w:val="13756734"/>
    <w:rsid w:val="13DB1B23"/>
    <w:rsid w:val="14120909"/>
    <w:rsid w:val="14CE3C3C"/>
    <w:rsid w:val="14FA3238"/>
    <w:rsid w:val="15215F9D"/>
    <w:rsid w:val="156404B5"/>
    <w:rsid w:val="15D87756"/>
    <w:rsid w:val="15F91E0B"/>
    <w:rsid w:val="15FDD48D"/>
    <w:rsid w:val="160615E5"/>
    <w:rsid w:val="1648344A"/>
    <w:rsid w:val="16961663"/>
    <w:rsid w:val="169B5B09"/>
    <w:rsid w:val="16B42AE6"/>
    <w:rsid w:val="17036139"/>
    <w:rsid w:val="173D7EC6"/>
    <w:rsid w:val="175E762C"/>
    <w:rsid w:val="176E757D"/>
    <w:rsid w:val="177D18AD"/>
    <w:rsid w:val="17BF1AB7"/>
    <w:rsid w:val="17F9B21F"/>
    <w:rsid w:val="18D21BDA"/>
    <w:rsid w:val="18E41337"/>
    <w:rsid w:val="18F3507E"/>
    <w:rsid w:val="18FD42EA"/>
    <w:rsid w:val="19836318"/>
    <w:rsid w:val="199137B7"/>
    <w:rsid w:val="199A772E"/>
    <w:rsid w:val="1A061732"/>
    <w:rsid w:val="1A5D3A7C"/>
    <w:rsid w:val="1B141B69"/>
    <w:rsid w:val="1B2F2D41"/>
    <w:rsid w:val="1B657314"/>
    <w:rsid w:val="1B6C2F8B"/>
    <w:rsid w:val="1B6E507F"/>
    <w:rsid w:val="1BCFA0B7"/>
    <w:rsid w:val="1BD7EC0B"/>
    <w:rsid w:val="1BED4E10"/>
    <w:rsid w:val="1C5D1609"/>
    <w:rsid w:val="1C7B4336"/>
    <w:rsid w:val="1CEE78D2"/>
    <w:rsid w:val="1CF55296"/>
    <w:rsid w:val="1D053E4C"/>
    <w:rsid w:val="1D4F4C48"/>
    <w:rsid w:val="1D541F67"/>
    <w:rsid w:val="1D993DD2"/>
    <w:rsid w:val="1DD32DAF"/>
    <w:rsid w:val="1DFF7BBC"/>
    <w:rsid w:val="1E2D3D2C"/>
    <w:rsid w:val="1E432DEC"/>
    <w:rsid w:val="1ECB795B"/>
    <w:rsid w:val="1EDE59C4"/>
    <w:rsid w:val="1F7A02D7"/>
    <w:rsid w:val="1F94A4BC"/>
    <w:rsid w:val="1FBB6368"/>
    <w:rsid w:val="1FD99918"/>
    <w:rsid w:val="1FEC17D3"/>
    <w:rsid w:val="1FEF506E"/>
    <w:rsid w:val="1FFEB19D"/>
    <w:rsid w:val="1FFF8793"/>
    <w:rsid w:val="20384A18"/>
    <w:rsid w:val="20527F1B"/>
    <w:rsid w:val="206166E6"/>
    <w:rsid w:val="210A48F8"/>
    <w:rsid w:val="21D254C3"/>
    <w:rsid w:val="224C3B99"/>
    <w:rsid w:val="226D6250"/>
    <w:rsid w:val="22806203"/>
    <w:rsid w:val="22A750F1"/>
    <w:rsid w:val="22E7600E"/>
    <w:rsid w:val="22F6151E"/>
    <w:rsid w:val="231F6398"/>
    <w:rsid w:val="23E3782B"/>
    <w:rsid w:val="23F679FA"/>
    <w:rsid w:val="2446287E"/>
    <w:rsid w:val="24590691"/>
    <w:rsid w:val="24863878"/>
    <w:rsid w:val="24BE0B8E"/>
    <w:rsid w:val="251D5BFE"/>
    <w:rsid w:val="252B4C86"/>
    <w:rsid w:val="256C55CD"/>
    <w:rsid w:val="257B618D"/>
    <w:rsid w:val="25E13CF8"/>
    <w:rsid w:val="25F74CCE"/>
    <w:rsid w:val="26240706"/>
    <w:rsid w:val="267F4626"/>
    <w:rsid w:val="26FFFD5C"/>
    <w:rsid w:val="271D1DBA"/>
    <w:rsid w:val="27310701"/>
    <w:rsid w:val="27AD7BC4"/>
    <w:rsid w:val="28755B25"/>
    <w:rsid w:val="28B5472C"/>
    <w:rsid w:val="28CB7E2B"/>
    <w:rsid w:val="28E81E7A"/>
    <w:rsid w:val="295035C1"/>
    <w:rsid w:val="29932CBF"/>
    <w:rsid w:val="29EB43E2"/>
    <w:rsid w:val="2AED306C"/>
    <w:rsid w:val="2B0A6FB1"/>
    <w:rsid w:val="2B3D3549"/>
    <w:rsid w:val="2BF5CFB6"/>
    <w:rsid w:val="2C4958B7"/>
    <w:rsid w:val="2C8965FC"/>
    <w:rsid w:val="2CBD0053"/>
    <w:rsid w:val="2CFAFB50"/>
    <w:rsid w:val="2D187D5A"/>
    <w:rsid w:val="2D553F0C"/>
    <w:rsid w:val="2D8981B5"/>
    <w:rsid w:val="2DA82285"/>
    <w:rsid w:val="2E1C11DB"/>
    <w:rsid w:val="2E5FE1C0"/>
    <w:rsid w:val="2EBBE92B"/>
    <w:rsid w:val="2ECA174B"/>
    <w:rsid w:val="2ECC6FE7"/>
    <w:rsid w:val="2F67197A"/>
    <w:rsid w:val="2F6F13F7"/>
    <w:rsid w:val="2FD302BA"/>
    <w:rsid w:val="2FD36B08"/>
    <w:rsid w:val="2FF30FE6"/>
    <w:rsid w:val="2FF70977"/>
    <w:rsid w:val="300C7328"/>
    <w:rsid w:val="30944F66"/>
    <w:rsid w:val="30F016D4"/>
    <w:rsid w:val="31926721"/>
    <w:rsid w:val="31CA7CEA"/>
    <w:rsid w:val="31DEFCB9"/>
    <w:rsid w:val="32351436"/>
    <w:rsid w:val="324F79A0"/>
    <w:rsid w:val="32B84568"/>
    <w:rsid w:val="32DC539F"/>
    <w:rsid w:val="330A3DCE"/>
    <w:rsid w:val="33704ABB"/>
    <w:rsid w:val="33957634"/>
    <w:rsid w:val="33DDFC66"/>
    <w:rsid w:val="34083530"/>
    <w:rsid w:val="345828BB"/>
    <w:rsid w:val="345B6AD0"/>
    <w:rsid w:val="349823C8"/>
    <w:rsid w:val="34FB796B"/>
    <w:rsid w:val="35791B2E"/>
    <w:rsid w:val="35923746"/>
    <w:rsid w:val="359F7D1B"/>
    <w:rsid w:val="35D129EC"/>
    <w:rsid w:val="35E5857D"/>
    <w:rsid w:val="35ECE8AC"/>
    <w:rsid w:val="35F97BFD"/>
    <w:rsid w:val="35FA0E24"/>
    <w:rsid w:val="36A35F74"/>
    <w:rsid w:val="36BB402D"/>
    <w:rsid w:val="36ECD952"/>
    <w:rsid w:val="37215739"/>
    <w:rsid w:val="37D56B99"/>
    <w:rsid w:val="37DD0739"/>
    <w:rsid w:val="37EE9F73"/>
    <w:rsid w:val="37EF4592"/>
    <w:rsid w:val="37FF4227"/>
    <w:rsid w:val="38104AD4"/>
    <w:rsid w:val="38CF0BE6"/>
    <w:rsid w:val="395A4761"/>
    <w:rsid w:val="39A00781"/>
    <w:rsid w:val="39E7672E"/>
    <w:rsid w:val="39FB5F0B"/>
    <w:rsid w:val="39FFFB32"/>
    <w:rsid w:val="3B041EEE"/>
    <w:rsid w:val="3B14B937"/>
    <w:rsid w:val="3B5E12F3"/>
    <w:rsid w:val="3B5E6555"/>
    <w:rsid w:val="3B81C735"/>
    <w:rsid w:val="3BE9250B"/>
    <w:rsid w:val="3BEEA31E"/>
    <w:rsid w:val="3BFF6C6A"/>
    <w:rsid w:val="3C1C56DA"/>
    <w:rsid w:val="3C2E4608"/>
    <w:rsid w:val="3C3F6B7F"/>
    <w:rsid w:val="3C5272D1"/>
    <w:rsid w:val="3C615169"/>
    <w:rsid w:val="3C6633CE"/>
    <w:rsid w:val="3C91452A"/>
    <w:rsid w:val="3D5F3E62"/>
    <w:rsid w:val="3D7B51A1"/>
    <w:rsid w:val="3D831EB9"/>
    <w:rsid w:val="3DB797C4"/>
    <w:rsid w:val="3DC01751"/>
    <w:rsid w:val="3DDD97C1"/>
    <w:rsid w:val="3DDFF51C"/>
    <w:rsid w:val="3DE466D3"/>
    <w:rsid w:val="3DED7892"/>
    <w:rsid w:val="3DFB01ED"/>
    <w:rsid w:val="3E116845"/>
    <w:rsid w:val="3ED30095"/>
    <w:rsid w:val="3EE310C0"/>
    <w:rsid w:val="3F37936E"/>
    <w:rsid w:val="3F3F69C1"/>
    <w:rsid w:val="3F7BEAF3"/>
    <w:rsid w:val="3F7F2A1D"/>
    <w:rsid w:val="3F8A60F1"/>
    <w:rsid w:val="3FB7E0C7"/>
    <w:rsid w:val="3FBDEC4B"/>
    <w:rsid w:val="3FD94DA2"/>
    <w:rsid w:val="3FDE2054"/>
    <w:rsid w:val="3FFC1A10"/>
    <w:rsid w:val="40CB07D2"/>
    <w:rsid w:val="410212E2"/>
    <w:rsid w:val="412D2BF1"/>
    <w:rsid w:val="41560911"/>
    <w:rsid w:val="41690BC5"/>
    <w:rsid w:val="41BE3162"/>
    <w:rsid w:val="4208034D"/>
    <w:rsid w:val="420E54FA"/>
    <w:rsid w:val="425F2679"/>
    <w:rsid w:val="431D28CA"/>
    <w:rsid w:val="43BF178F"/>
    <w:rsid w:val="442F1519"/>
    <w:rsid w:val="44E069B4"/>
    <w:rsid w:val="454276EA"/>
    <w:rsid w:val="454C5082"/>
    <w:rsid w:val="458614D2"/>
    <w:rsid w:val="46032146"/>
    <w:rsid w:val="46206157"/>
    <w:rsid w:val="46472A10"/>
    <w:rsid w:val="46660FFA"/>
    <w:rsid w:val="46CF111E"/>
    <w:rsid w:val="46F621C6"/>
    <w:rsid w:val="47642508"/>
    <w:rsid w:val="476C5E5E"/>
    <w:rsid w:val="47AD2F34"/>
    <w:rsid w:val="47B683AF"/>
    <w:rsid w:val="47F647B5"/>
    <w:rsid w:val="496137B6"/>
    <w:rsid w:val="49910A3F"/>
    <w:rsid w:val="49AD5BED"/>
    <w:rsid w:val="4A733EF1"/>
    <w:rsid w:val="4ABA8151"/>
    <w:rsid w:val="4AE50A49"/>
    <w:rsid w:val="4AF56BB8"/>
    <w:rsid w:val="4B3A7B4E"/>
    <w:rsid w:val="4BA63C80"/>
    <w:rsid w:val="4BDA6DF3"/>
    <w:rsid w:val="4BF6995F"/>
    <w:rsid w:val="4C4321E8"/>
    <w:rsid w:val="4C831F6E"/>
    <w:rsid w:val="4C87189A"/>
    <w:rsid w:val="4C8C193F"/>
    <w:rsid w:val="4CDE6317"/>
    <w:rsid w:val="4CF53C6C"/>
    <w:rsid w:val="4D063625"/>
    <w:rsid w:val="4D205B4F"/>
    <w:rsid w:val="4D265A75"/>
    <w:rsid w:val="4DF0C4C5"/>
    <w:rsid w:val="4E73ABB9"/>
    <w:rsid w:val="4EDFE65B"/>
    <w:rsid w:val="4EEF10C6"/>
    <w:rsid w:val="4EEF9078"/>
    <w:rsid w:val="4EFB3725"/>
    <w:rsid w:val="4F4F7892"/>
    <w:rsid w:val="4F6463E1"/>
    <w:rsid w:val="4FBF4FCB"/>
    <w:rsid w:val="4FCB2904"/>
    <w:rsid w:val="4FD950CD"/>
    <w:rsid w:val="4FFC3B79"/>
    <w:rsid w:val="4FFDF30F"/>
    <w:rsid w:val="4FFE72F0"/>
    <w:rsid w:val="50650F87"/>
    <w:rsid w:val="5081323B"/>
    <w:rsid w:val="50B064C0"/>
    <w:rsid w:val="51426BF5"/>
    <w:rsid w:val="51491D32"/>
    <w:rsid w:val="51677B20"/>
    <w:rsid w:val="51C66CCF"/>
    <w:rsid w:val="51D3773A"/>
    <w:rsid w:val="51EC3175"/>
    <w:rsid w:val="51F769B7"/>
    <w:rsid w:val="525C2F0C"/>
    <w:rsid w:val="52A0271D"/>
    <w:rsid w:val="52BB0686"/>
    <w:rsid w:val="53B462DA"/>
    <w:rsid w:val="53C438F2"/>
    <w:rsid w:val="53E87AA9"/>
    <w:rsid w:val="5400092D"/>
    <w:rsid w:val="54FB8151"/>
    <w:rsid w:val="5517601F"/>
    <w:rsid w:val="554546FC"/>
    <w:rsid w:val="55BD40F9"/>
    <w:rsid w:val="55E74ACF"/>
    <w:rsid w:val="563F2803"/>
    <w:rsid w:val="565B1ED7"/>
    <w:rsid w:val="56645665"/>
    <w:rsid w:val="56864558"/>
    <w:rsid w:val="56EB70C8"/>
    <w:rsid w:val="572145E5"/>
    <w:rsid w:val="5731118E"/>
    <w:rsid w:val="575651A9"/>
    <w:rsid w:val="576C0F82"/>
    <w:rsid w:val="576F06EB"/>
    <w:rsid w:val="57BF937F"/>
    <w:rsid w:val="57CD8456"/>
    <w:rsid w:val="58B54151"/>
    <w:rsid w:val="590729F8"/>
    <w:rsid w:val="596264CF"/>
    <w:rsid w:val="59A738BF"/>
    <w:rsid w:val="59E03E4C"/>
    <w:rsid w:val="59F27A8C"/>
    <w:rsid w:val="5A0B4E03"/>
    <w:rsid w:val="5A3534FC"/>
    <w:rsid w:val="5A513A05"/>
    <w:rsid w:val="5A627789"/>
    <w:rsid w:val="5AB70A82"/>
    <w:rsid w:val="5ABAE991"/>
    <w:rsid w:val="5ADF1212"/>
    <w:rsid w:val="5AEF4FA2"/>
    <w:rsid w:val="5B1EEDB9"/>
    <w:rsid w:val="5B205175"/>
    <w:rsid w:val="5B3F5E3F"/>
    <w:rsid w:val="5B6E22B3"/>
    <w:rsid w:val="5B7F9F34"/>
    <w:rsid w:val="5B958EFF"/>
    <w:rsid w:val="5BAF484F"/>
    <w:rsid w:val="5BB4249E"/>
    <w:rsid w:val="5BDF58CE"/>
    <w:rsid w:val="5BF83ABC"/>
    <w:rsid w:val="5C022FE5"/>
    <w:rsid w:val="5C473312"/>
    <w:rsid w:val="5C7BF410"/>
    <w:rsid w:val="5CBE1C00"/>
    <w:rsid w:val="5CCB7A9F"/>
    <w:rsid w:val="5CF7C389"/>
    <w:rsid w:val="5CF7D130"/>
    <w:rsid w:val="5D932089"/>
    <w:rsid w:val="5DB2ACF1"/>
    <w:rsid w:val="5DBB9F81"/>
    <w:rsid w:val="5DFB84E9"/>
    <w:rsid w:val="5E77C653"/>
    <w:rsid w:val="5E7F4583"/>
    <w:rsid w:val="5EB91C7B"/>
    <w:rsid w:val="5EDB625E"/>
    <w:rsid w:val="5EFF46B7"/>
    <w:rsid w:val="5EFF6F1C"/>
    <w:rsid w:val="5EFF7144"/>
    <w:rsid w:val="5F037CB4"/>
    <w:rsid w:val="5F3D5C44"/>
    <w:rsid w:val="5F3DA234"/>
    <w:rsid w:val="5F5B0449"/>
    <w:rsid w:val="5F5FD6B5"/>
    <w:rsid w:val="5F6F469E"/>
    <w:rsid w:val="5F731642"/>
    <w:rsid w:val="5F9B70E7"/>
    <w:rsid w:val="5FC02B24"/>
    <w:rsid w:val="5FC357C2"/>
    <w:rsid w:val="5FCDE0F0"/>
    <w:rsid w:val="5FCF0FA0"/>
    <w:rsid w:val="5FDA449D"/>
    <w:rsid w:val="5FE9075C"/>
    <w:rsid w:val="5FEB31D8"/>
    <w:rsid w:val="5FEBCC65"/>
    <w:rsid w:val="5FEE6870"/>
    <w:rsid w:val="5FF3901C"/>
    <w:rsid w:val="5FF6B522"/>
    <w:rsid w:val="5FFAAA17"/>
    <w:rsid w:val="5FFAC6C3"/>
    <w:rsid w:val="5FFB349F"/>
    <w:rsid w:val="5FFEF18B"/>
    <w:rsid w:val="5FFF044F"/>
    <w:rsid w:val="5FFF8A8F"/>
    <w:rsid w:val="609E2F68"/>
    <w:rsid w:val="60A01B02"/>
    <w:rsid w:val="60C34F31"/>
    <w:rsid w:val="60F14617"/>
    <w:rsid w:val="614A4C66"/>
    <w:rsid w:val="617DA293"/>
    <w:rsid w:val="619A1FE6"/>
    <w:rsid w:val="61B34A28"/>
    <w:rsid w:val="61D32B3E"/>
    <w:rsid w:val="61F5350D"/>
    <w:rsid w:val="621B4CEE"/>
    <w:rsid w:val="62300872"/>
    <w:rsid w:val="625B3063"/>
    <w:rsid w:val="62903F5F"/>
    <w:rsid w:val="62B9E1F7"/>
    <w:rsid w:val="62C5599B"/>
    <w:rsid w:val="62DC344C"/>
    <w:rsid w:val="62F76B25"/>
    <w:rsid w:val="634964C2"/>
    <w:rsid w:val="636E5628"/>
    <w:rsid w:val="637D293D"/>
    <w:rsid w:val="63E1EF55"/>
    <w:rsid w:val="63FB6F8D"/>
    <w:rsid w:val="63FF0187"/>
    <w:rsid w:val="64264155"/>
    <w:rsid w:val="642F7B23"/>
    <w:rsid w:val="6433326E"/>
    <w:rsid w:val="647970C7"/>
    <w:rsid w:val="651A0DD5"/>
    <w:rsid w:val="654D294A"/>
    <w:rsid w:val="655B4815"/>
    <w:rsid w:val="656531CF"/>
    <w:rsid w:val="65A53ECF"/>
    <w:rsid w:val="65B3015A"/>
    <w:rsid w:val="65CF3E14"/>
    <w:rsid w:val="65FE6279"/>
    <w:rsid w:val="668F5952"/>
    <w:rsid w:val="66C35C8B"/>
    <w:rsid w:val="66C6614B"/>
    <w:rsid w:val="66F2773D"/>
    <w:rsid w:val="66FC3620"/>
    <w:rsid w:val="677F5CC0"/>
    <w:rsid w:val="67DD0D27"/>
    <w:rsid w:val="67EC1944"/>
    <w:rsid w:val="67F62851"/>
    <w:rsid w:val="67FB7AB8"/>
    <w:rsid w:val="683549D0"/>
    <w:rsid w:val="685049E0"/>
    <w:rsid w:val="68564E4B"/>
    <w:rsid w:val="69117B3A"/>
    <w:rsid w:val="696A60FD"/>
    <w:rsid w:val="6A00742B"/>
    <w:rsid w:val="6A916415"/>
    <w:rsid w:val="6AA214D5"/>
    <w:rsid w:val="6AAF27AE"/>
    <w:rsid w:val="6ABF1787"/>
    <w:rsid w:val="6AC5518F"/>
    <w:rsid w:val="6AF53541"/>
    <w:rsid w:val="6B013226"/>
    <w:rsid w:val="6B7E4876"/>
    <w:rsid w:val="6BC219E2"/>
    <w:rsid w:val="6BD77F43"/>
    <w:rsid w:val="6C02453C"/>
    <w:rsid w:val="6C1705AA"/>
    <w:rsid w:val="6C516553"/>
    <w:rsid w:val="6C6E2C17"/>
    <w:rsid w:val="6CE6FDE5"/>
    <w:rsid w:val="6CFFC85A"/>
    <w:rsid w:val="6D0D6EA3"/>
    <w:rsid w:val="6D54763D"/>
    <w:rsid w:val="6D7B021F"/>
    <w:rsid w:val="6D9EA528"/>
    <w:rsid w:val="6DD10C8D"/>
    <w:rsid w:val="6DE7A04A"/>
    <w:rsid w:val="6DFF6235"/>
    <w:rsid w:val="6E387869"/>
    <w:rsid w:val="6ED20754"/>
    <w:rsid w:val="6EFF6612"/>
    <w:rsid w:val="6F372F75"/>
    <w:rsid w:val="6F3EB4E4"/>
    <w:rsid w:val="6F5002D8"/>
    <w:rsid w:val="6F77CC88"/>
    <w:rsid w:val="6F7A01B0"/>
    <w:rsid w:val="6F8E184D"/>
    <w:rsid w:val="6F96F271"/>
    <w:rsid w:val="6F9D0D90"/>
    <w:rsid w:val="6FAC7AAC"/>
    <w:rsid w:val="6FB2D4FC"/>
    <w:rsid w:val="6FB42615"/>
    <w:rsid w:val="6FBE444F"/>
    <w:rsid w:val="6FBFB3F1"/>
    <w:rsid w:val="6FBFBEFB"/>
    <w:rsid w:val="6FDFB5B4"/>
    <w:rsid w:val="6FEE1135"/>
    <w:rsid w:val="6FF61451"/>
    <w:rsid w:val="6FF93418"/>
    <w:rsid w:val="6FFC1A9E"/>
    <w:rsid w:val="6FFDBCA3"/>
    <w:rsid w:val="6FFDBEE6"/>
    <w:rsid w:val="6FFEAE00"/>
    <w:rsid w:val="6FFF0681"/>
    <w:rsid w:val="70076BE8"/>
    <w:rsid w:val="707C72F1"/>
    <w:rsid w:val="70860455"/>
    <w:rsid w:val="709C402D"/>
    <w:rsid w:val="70A22ED2"/>
    <w:rsid w:val="70BF0A5D"/>
    <w:rsid w:val="71266B85"/>
    <w:rsid w:val="71416582"/>
    <w:rsid w:val="71551BD5"/>
    <w:rsid w:val="717F7BB0"/>
    <w:rsid w:val="72424E57"/>
    <w:rsid w:val="729E9E63"/>
    <w:rsid w:val="72B35661"/>
    <w:rsid w:val="72E46DFB"/>
    <w:rsid w:val="72E568AF"/>
    <w:rsid w:val="72FEDA78"/>
    <w:rsid w:val="72FFB7C1"/>
    <w:rsid w:val="73483A58"/>
    <w:rsid w:val="7375365D"/>
    <w:rsid w:val="73FB20B2"/>
    <w:rsid w:val="741B74F9"/>
    <w:rsid w:val="743E3BC4"/>
    <w:rsid w:val="74D65CD0"/>
    <w:rsid w:val="74F474DC"/>
    <w:rsid w:val="751DF986"/>
    <w:rsid w:val="753F271B"/>
    <w:rsid w:val="75425AF2"/>
    <w:rsid w:val="757B6AA9"/>
    <w:rsid w:val="757EF084"/>
    <w:rsid w:val="75AF1088"/>
    <w:rsid w:val="75D724D1"/>
    <w:rsid w:val="75FCB667"/>
    <w:rsid w:val="767059E0"/>
    <w:rsid w:val="767F7CAE"/>
    <w:rsid w:val="76F53C3E"/>
    <w:rsid w:val="76FB0A7B"/>
    <w:rsid w:val="76FF77D0"/>
    <w:rsid w:val="770D6C31"/>
    <w:rsid w:val="771725E9"/>
    <w:rsid w:val="772765FB"/>
    <w:rsid w:val="77295798"/>
    <w:rsid w:val="773F6427"/>
    <w:rsid w:val="776F4FB3"/>
    <w:rsid w:val="777847A7"/>
    <w:rsid w:val="77816E3C"/>
    <w:rsid w:val="779F3BAA"/>
    <w:rsid w:val="77B5667B"/>
    <w:rsid w:val="77B6FC2C"/>
    <w:rsid w:val="77D7A2DC"/>
    <w:rsid w:val="77DBD9C2"/>
    <w:rsid w:val="77E71B28"/>
    <w:rsid w:val="77FEC787"/>
    <w:rsid w:val="77FF11EC"/>
    <w:rsid w:val="77FF458D"/>
    <w:rsid w:val="77FFDDEE"/>
    <w:rsid w:val="78203120"/>
    <w:rsid w:val="782B47B9"/>
    <w:rsid w:val="78316C30"/>
    <w:rsid w:val="78ABBB38"/>
    <w:rsid w:val="78FF12CB"/>
    <w:rsid w:val="791E1620"/>
    <w:rsid w:val="79444088"/>
    <w:rsid w:val="795B70DF"/>
    <w:rsid w:val="796DEB23"/>
    <w:rsid w:val="79ED20E9"/>
    <w:rsid w:val="79F8289C"/>
    <w:rsid w:val="7A0643B5"/>
    <w:rsid w:val="7A381D3D"/>
    <w:rsid w:val="7A47612F"/>
    <w:rsid w:val="7A5D4B65"/>
    <w:rsid w:val="7A79E3B8"/>
    <w:rsid w:val="7A945202"/>
    <w:rsid w:val="7ADA5232"/>
    <w:rsid w:val="7ADD0844"/>
    <w:rsid w:val="7AE77E99"/>
    <w:rsid w:val="7AF38D66"/>
    <w:rsid w:val="7AF7E71D"/>
    <w:rsid w:val="7AF94D97"/>
    <w:rsid w:val="7B5F1FCE"/>
    <w:rsid w:val="7B6B7289"/>
    <w:rsid w:val="7B75AE80"/>
    <w:rsid w:val="7B7F4E20"/>
    <w:rsid w:val="7B7F7F30"/>
    <w:rsid w:val="7BAB902C"/>
    <w:rsid w:val="7BAD1FA3"/>
    <w:rsid w:val="7BB7CE30"/>
    <w:rsid w:val="7BD1180E"/>
    <w:rsid w:val="7BD94909"/>
    <w:rsid w:val="7BDBB491"/>
    <w:rsid w:val="7BDF6A74"/>
    <w:rsid w:val="7BF5D530"/>
    <w:rsid w:val="7BFDB85B"/>
    <w:rsid w:val="7BFE71C0"/>
    <w:rsid w:val="7BFF7778"/>
    <w:rsid w:val="7C6C5927"/>
    <w:rsid w:val="7C876A23"/>
    <w:rsid w:val="7C9F9D33"/>
    <w:rsid w:val="7CE265CB"/>
    <w:rsid w:val="7CE74490"/>
    <w:rsid w:val="7CEA8A95"/>
    <w:rsid w:val="7CF50CD3"/>
    <w:rsid w:val="7CFB4EC6"/>
    <w:rsid w:val="7D3801B4"/>
    <w:rsid w:val="7D3E5713"/>
    <w:rsid w:val="7D5D62FD"/>
    <w:rsid w:val="7D6434A5"/>
    <w:rsid w:val="7D6E4392"/>
    <w:rsid w:val="7D7B4E34"/>
    <w:rsid w:val="7D9F14CA"/>
    <w:rsid w:val="7DAE1917"/>
    <w:rsid w:val="7DB31745"/>
    <w:rsid w:val="7DD7161A"/>
    <w:rsid w:val="7DDF5E5C"/>
    <w:rsid w:val="7DE98F14"/>
    <w:rsid w:val="7DEF727F"/>
    <w:rsid w:val="7DEFD06D"/>
    <w:rsid w:val="7DF7137A"/>
    <w:rsid w:val="7DF76B2A"/>
    <w:rsid w:val="7DF76B4F"/>
    <w:rsid w:val="7DFA7DED"/>
    <w:rsid w:val="7DFC5063"/>
    <w:rsid w:val="7DFD37EC"/>
    <w:rsid w:val="7DFDD966"/>
    <w:rsid w:val="7E36AD83"/>
    <w:rsid w:val="7E3B2EE4"/>
    <w:rsid w:val="7E43730C"/>
    <w:rsid w:val="7E49C517"/>
    <w:rsid w:val="7E6578E1"/>
    <w:rsid w:val="7E6BA75E"/>
    <w:rsid w:val="7E76F89F"/>
    <w:rsid w:val="7EBEE1DF"/>
    <w:rsid w:val="7EBF05B5"/>
    <w:rsid w:val="7EDD1C8B"/>
    <w:rsid w:val="7EDE7481"/>
    <w:rsid w:val="7EF32E7A"/>
    <w:rsid w:val="7EFE03E2"/>
    <w:rsid w:val="7F10014C"/>
    <w:rsid w:val="7F350A7B"/>
    <w:rsid w:val="7F3F3780"/>
    <w:rsid w:val="7F3FE84E"/>
    <w:rsid w:val="7F5F8DA9"/>
    <w:rsid w:val="7F685508"/>
    <w:rsid w:val="7F6F0A08"/>
    <w:rsid w:val="7F7B285F"/>
    <w:rsid w:val="7F7B5145"/>
    <w:rsid w:val="7F7B9352"/>
    <w:rsid w:val="7F7C507E"/>
    <w:rsid w:val="7F7F4E85"/>
    <w:rsid w:val="7F7FC6EA"/>
    <w:rsid w:val="7FA69CB3"/>
    <w:rsid w:val="7FB7D129"/>
    <w:rsid w:val="7FBB112B"/>
    <w:rsid w:val="7FBB179D"/>
    <w:rsid w:val="7FBDD27A"/>
    <w:rsid w:val="7FBF531A"/>
    <w:rsid w:val="7FBF9190"/>
    <w:rsid w:val="7FBFBA21"/>
    <w:rsid w:val="7FC6B625"/>
    <w:rsid w:val="7FC92A30"/>
    <w:rsid w:val="7FD3B018"/>
    <w:rsid w:val="7FD551EF"/>
    <w:rsid w:val="7FD59568"/>
    <w:rsid w:val="7FDD9CDF"/>
    <w:rsid w:val="7FDF2392"/>
    <w:rsid w:val="7FE447B1"/>
    <w:rsid w:val="7FEE7FB5"/>
    <w:rsid w:val="7FEF07FC"/>
    <w:rsid w:val="7FEF6543"/>
    <w:rsid w:val="7FEFC59F"/>
    <w:rsid w:val="7FF025C1"/>
    <w:rsid w:val="7FF79769"/>
    <w:rsid w:val="7FF93C0F"/>
    <w:rsid w:val="7FFAC178"/>
    <w:rsid w:val="7FFB7FBE"/>
    <w:rsid w:val="7FFB9552"/>
    <w:rsid w:val="7FFDD8C2"/>
    <w:rsid w:val="7FFEDAE9"/>
    <w:rsid w:val="7FFF47E2"/>
    <w:rsid w:val="7FFF8167"/>
    <w:rsid w:val="7FFFF1AC"/>
    <w:rsid w:val="875FA661"/>
    <w:rsid w:val="8BFDC56B"/>
    <w:rsid w:val="8DDC7BD9"/>
    <w:rsid w:val="8FDF28C4"/>
    <w:rsid w:val="977FE175"/>
    <w:rsid w:val="9C3769A0"/>
    <w:rsid w:val="9CCF40C9"/>
    <w:rsid w:val="9D5F0CE6"/>
    <w:rsid w:val="9DF793C2"/>
    <w:rsid w:val="9E4FCDF0"/>
    <w:rsid w:val="9EAD523A"/>
    <w:rsid w:val="9F7AE0F1"/>
    <w:rsid w:val="9FCFAB33"/>
    <w:rsid w:val="9FFF8717"/>
    <w:rsid w:val="A70E9989"/>
    <w:rsid w:val="AAEA7536"/>
    <w:rsid w:val="ABAEBE43"/>
    <w:rsid w:val="ABBEE8AA"/>
    <w:rsid w:val="ACFFBCE2"/>
    <w:rsid w:val="AE6E75D9"/>
    <w:rsid w:val="AE6F64C0"/>
    <w:rsid w:val="AF37DB34"/>
    <w:rsid w:val="AFD53A86"/>
    <w:rsid w:val="AFDABEAD"/>
    <w:rsid w:val="AFFE5E4D"/>
    <w:rsid w:val="B256102B"/>
    <w:rsid w:val="B2DBA45E"/>
    <w:rsid w:val="B39B65C4"/>
    <w:rsid w:val="B4F3C1A5"/>
    <w:rsid w:val="B5DB478C"/>
    <w:rsid w:val="B5DFF25D"/>
    <w:rsid w:val="B5F79338"/>
    <w:rsid w:val="B5F8B73C"/>
    <w:rsid w:val="B5FFB587"/>
    <w:rsid w:val="B6FF6415"/>
    <w:rsid w:val="B79D371C"/>
    <w:rsid w:val="B7ABC92E"/>
    <w:rsid w:val="B7EFE111"/>
    <w:rsid w:val="B9CF0240"/>
    <w:rsid w:val="BA715154"/>
    <w:rsid w:val="BAEA87F9"/>
    <w:rsid w:val="BAFF83A7"/>
    <w:rsid w:val="BBAC9AD2"/>
    <w:rsid w:val="BBFF3A6B"/>
    <w:rsid w:val="BCF5C49A"/>
    <w:rsid w:val="BCFD7120"/>
    <w:rsid w:val="BDBF931E"/>
    <w:rsid w:val="BDD630C3"/>
    <w:rsid w:val="BDEFC483"/>
    <w:rsid w:val="BDF7A17E"/>
    <w:rsid w:val="BDFF8B4E"/>
    <w:rsid w:val="BE5F6299"/>
    <w:rsid w:val="BED499B4"/>
    <w:rsid w:val="BED592B9"/>
    <w:rsid w:val="BEF9884A"/>
    <w:rsid w:val="BEFDF633"/>
    <w:rsid w:val="BF3FC5A6"/>
    <w:rsid w:val="BF650432"/>
    <w:rsid w:val="BF7F606F"/>
    <w:rsid w:val="BFA69DA5"/>
    <w:rsid w:val="BFA7F8D8"/>
    <w:rsid w:val="BFAF52DF"/>
    <w:rsid w:val="BFB6ED55"/>
    <w:rsid w:val="BFBD24FD"/>
    <w:rsid w:val="BFBEAE79"/>
    <w:rsid w:val="BFF6FB40"/>
    <w:rsid w:val="BFFFF15E"/>
    <w:rsid w:val="C1DDD2F8"/>
    <w:rsid w:val="C6F57962"/>
    <w:rsid w:val="C7F315BE"/>
    <w:rsid w:val="CBBFECF8"/>
    <w:rsid w:val="CD274330"/>
    <w:rsid w:val="CD77630D"/>
    <w:rsid w:val="CD7C7169"/>
    <w:rsid w:val="CD87F31D"/>
    <w:rsid w:val="CDDF4C61"/>
    <w:rsid w:val="CE7728A1"/>
    <w:rsid w:val="CF9E5DF7"/>
    <w:rsid w:val="CFF1A6F7"/>
    <w:rsid w:val="CFFFC1EB"/>
    <w:rsid w:val="D47E4F7A"/>
    <w:rsid w:val="D5575B76"/>
    <w:rsid w:val="D77B69D2"/>
    <w:rsid w:val="D7B9525D"/>
    <w:rsid w:val="D7F5A17B"/>
    <w:rsid w:val="D7FE0F0B"/>
    <w:rsid w:val="DA74BA4C"/>
    <w:rsid w:val="DBDE9359"/>
    <w:rsid w:val="DBFD02D1"/>
    <w:rsid w:val="DBFEA161"/>
    <w:rsid w:val="DD3C17AE"/>
    <w:rsid w:val="DD7E8CE7"/>
    <w:rsid w:val="DDDB9E5B"/>
    <w:rsid w:val="DDEFFC14"/>
    <w:rsid w:val="DDFFA1D9"/>
    <w:rsid w:val="DE5E7C3B"/>
    <w:rsid w:val="DE5F8F22"/>
    <w:rsid w:val="DEB9E4C2"/>
    <w:rsid w:val="DEFB12F2"/>
    <w:rsid w:val="DEFE24F3"/>
    <w:rsid w:val="DF1E172C"/>
    <w:rsid w:val="DF5F49F4"/>
    <w:rsid w:val="DF7742C0"/>
    <w:rsid w:val="DF7D923A"/>
    <w:rsid w:val="DF9E4796"/>
    <w:rsid w:val="DFAF4246"/>
    <w:rsid w:val="DFB86924"/>
    <w:rsid w:val="DFBDAF07"/>
    <w:rsid w:val="DFBF30E2"/>
    <w:rsid w:val="DFDD1E0D"/>
    <w:rsid w:val="DFDF1A06"/>
    <w:rsid w:val="DFEFE3B4"/>
    <w:rsid w:val="DFFDB707"/>
    <w:rsid w:val="DFFE4FC6"/>
    <w:rsid w:val="DFFFE7D2"/>
    <w:rsid w:val="E26654BB"/>
    <w:rsid w:val="E3EFE834"/>
    <w:rsid w:val="E3FE7BB8"/>
    <w:rsid w:val="E67C7A4C"/>
    <w:rsid w:val="E79C1306"/>
    <w:rsid w:val="E9BF7A55"/>
    <w:rsid w:val="E9DEA185"/>
    <w:rsid w:val="E9DF3C8C"/>
    <w:rsid w:val="E9FF1212"/>
    <w:rsid w:val="EAB48293"/>
    <w:rsid w:val="EADD4FE5"/>
    <w:rsid w:val="EAF59364"/>
    <w:rsid w:val="EAFE16C8"/>
    <w:rsid w:val="EB3EA8A2"/>
    <w:rsid w:val="EB9D1550"/>
    <w:rsid w:val="EBFB739D"/>
    <w:rsid w:val="ECDD4831"/>
    <w:rsid w:val="ECF8E1A3"/>
    <w:rsid w:val="ED5F756D"/>
    <w:rsid w:val="EDBD1A4E"/>
    <w:rsid w:val="EDD6839A"/>
    <w:rsid w:val="EDEE84EA"/>
    <w:rsid w:val="EDFF85A0"/>
    <w:rsid w:val="EDFFC256"/>
    <w:rsid w:val="EE3F3B0B"/>
    <w:rsid w:val="EEF71B85"/>
    <w:rsid w:val="EEFD1106"/>
    <w:rsid w:val="EEFFAEEF"/>
    <w:rsid w:val="EF3EA0C9"/>
    <w:rsid w:val="EF670BDC"/>
    <w:rsid w:val="EF6B27FF"/>
    <w:rsid w:val="EF6EA6D9"/>
    <w:rsid w:val="EF7F0EB1"/>
    <w:rsid w:val="EFBB0D86"/>
    <w:rsid w:val="EFBEAFEB"/>
    <w:rsid w:val="EFBF210A"/>
    <w:rsid w:val="EFD23BE4"/>
    <w:rsid w:val="EFDE95A2"/>
    <w:rsid w:val="EFDF9FC4"/>
    <w:rsid w:val="EFE01D9E"/>
    <w:rsid w:val="EFE76CE8"/>
    <w:rsid w:val="EFEE1D20"/>
    <w:rsid w:val="EFEF443A"/>
    <w:rsid w:val="EFF2B641"/>
    <w:rsid w:val="EFF4D5E3"/>
    <w:rsid w:val="EFF72A13"/>
    <w:rsid w:val="EFFB2FBE"/>
    <w:rsid w:val="EFFE2B06"/>
    <w:rsid w:val="F19529B5"/>
    <w:rsid w:val="F19B85F8"/>
    <w:rsid w:val="F1D7EAE8"/>
    <w:rsid w:val="F1D7F7E6"/>
    <w:rsid w:val="F1FA27C0"/>
    <w:rsid w:val="F2FDFBA5"/>
    <w:rsid w:val="F369F8D5"/>
    <w:rsid w:val="F39BC28E"/>
    <w:rsid w:val="F3F997A4"/>
    <w:rsid w:val="F3FAB569"/>
    <w:rsid w:val="F4F94939"/>
    <w:rsid w:val="F5D7D499"/>
    <w:rsid w:val="F5F7AFFF"/>
    <w:rsid w:val="F6731169"/>
    <w:rsid w:val="F6BD07C3"/>
    <w:rsid w:val="F6BF6B72"/>
    <w:rsid w:val="F6BFF216"/>
    <w:rsid w:val="F6EFD6B3"/>
    <w:rsid w:val="F6F64A3B"/>
    <w:rsid w:val="F71B66DA"/>
    <w:rsid w:val="F77B9FDC"/>
    <w:rsid w:val="F79C9FE8"/>
    <w:rsid w:val="F7AFB4C1"/>
    <w:rsid w:val="F7C5F886"/>
    <w:rsid w:val="F7DFDFEE"/>
    <w:rsid w:val="F7F76807"/>
    <w:rsid w:val="F7FC5564"/>
    <w:rsid w:val="F86E04A0"/>
    <w:rsid w:val="F9FFA0F8"/>
    <w:rsid w:val="FA472EB8"/>
    <w:rsid w:val="FAAF9E9E"/>
    <w:rsid w:val="FAB65983"/>
    <w:rsid w:val="FAEF5908"/>
    <w:rsid w:val="FB772D20"/>
    <w:rsid w:val="FB7F62AC"/>
    <w:rsid w:val="FB9DBA31"/>
    <w:rsid w:val="FBDFAC5F"/>
    <w:rsid w:val="FBFF25DA"/>
    <w:rsid w:val="FBFF42C2"/>
    <w:rsid w:val="FC9D5AB2"/>
    <w:rsid w:val="FCCEE38D"/>
    <w:rsid w:val="FCDEED16"/>
    <w:rsid w:val="FCF8AE5C"/>
    <w:rsid w:val="FCFEBD86"/>
    <w:rsid w:val="FD1DC0CA"/>
    <w:rsid w:val="FD3FD5AA"/>
    <w:rsid w:val="FD9B05FA"/>
    <w:rsid w:val="FDCE1E26"/>
    <w:rsid w:val="FDDF2AEB"/>
    <w:rsid w:val="FDF5D0AE"/>
    <w:rsid w:val="FDFE2E19"/>
    <w:rsid w:val="FDFF5AFC"/>
    <w:rsid w:val="FE3DDF54"/>
    <w:rsid w:val="FE3E4FFC"/>
    <w:rsid w:val="FE3F3A88"/>
    <w:rsid w:val="FE69E4E1"/>
    <w:rsid w:val="FE6B25E9"/>
    <w:rsid w:val="FEB90B97"/>
    <w:rsid w:val="FEBD898D"/>
    <w:rsid w:val="FECB523D"/>
    <w:rsid w:val="FEF90B97"/>
    <w:rsid w:val="FEFB88ED"/>
    <w:rsid w:val="FEFEC347"/>
    <w:rsid w:val="FEFFF8B5"/>
    <w:rsid w:val="FF1B862D"/>
    <w:rsid w:val="FF37A0E1"/>
    <w:rsid w:val="FF3BA707"/>
    <w:rsid w:val="FF52348C"/>
    <w:rsid w:val="FF56C9DC"/>
    <w:rsid w:val="FF5A59C3"/>
    <w:rsid w:val="FF5F6DF2"/>
    <w:rsid w:val="FF659EB1"/>
    <w:rsid w:val="FF739D92"/>
    <w:rsid w:val="FF7C70D0"/>
    <w:rsid w:val="FF7D7188"/>
    <w:rsid w:val="FF7EF562"/>
    <w:rsid w:val="FF7F6F2E"/>
    <w:rsid w:val="FF7F8C68"/>
    <w:rsid w:val="FF8F8C26"/>
    <w:rsid w:val="FF93A278"/>
    <w:rsid w:val="FF97A16D"/>
    <w:rsid w:val="FFBACB41"/>
    <w:rsid w:val="FFBDC0B3"/>
    <w:rsid w:val="FFD21F66"/>
    <w:rsid w:val="FFDB446E"/>
    <w:rsid w:val="FFDCA97E"/>
    <w:rsid w:val="FFDD7A0D"/>
    <w:rsid w:val="FFDE6836"/>
    <w:rsid w:val="FFDF359D"/>
    <w:rsid w:val="FFDFCB0C"/>
    <w:rsid w:val="FFE7C512"/>
    <w:rsid w:val="FFE9786C"/>
    <w:rsid w:val="FFEC1839"/>
    <w:rsid w:val="FFED2C5C"/>
    <w:rsid w:val="FFED782B"/>
    <w:rsid w:val="FFEDE7BD"/>
    <w:rsid w:val="FFEF2C54"/>
    <w:rsid w:val="FFEF87F6"/>
    <w:rsid w:val="FFF517F6"/>
    <w:rsid w:val="FFF63224"/>
    <w:rsid w:val="FFF6BF11"/>
    <w:rsid w:val="FFF7E274"/>
    <w:rsid w:val="FFFA54C7"/>
    <w:rsid w:val="FFFB7CE7"/>
    <w:rsid w:val="FFFD3740"/>
    <w:rsid w:val="FFFD51A0"/>
    <w:rsid w:val="FFFE293C"/>
    <w:rsid w:val="FFFE604A"/>
    <w:rsid w:val="FFFF0841"/>
    <w:rsid w:val="FFFF61B2"/>
    <w:rsid w:val="FFFFD9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iPriority="61"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name="Light Shading Accent 3"/>
    <w:lsdException w:qFormat="1" w:uiPriority="61" w:name="Light List Accent 3"/>
    <w:lsdException w:unhideWhenUsed="0" w:uiPriority="62" w:semiHidden="0" w:name="Light Grid Accent 3"/>
    <w:lsdException w:unhideWhenUsed="0" w:uiPriority="63" w:semiHidden="0" w:name="Medium Shading 1 Accent 3"/>
    <w:lsdException w:qFormat="1" w:uiPriority="64"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iPriority="6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iPriority="65"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iPriority="61"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Lines="50" w:afterLines="50" w:line="360" w:lineRule="auto"/>
      <w:jc w:val="both"/>
    </w:pPr>
    <w:rPr>
      <w:rFonts w:ascii="Times New Roman" w:hAnsi="Times New Roman" w:eastAsia="宋体" w:cs="Times New Roman"/>
      <w:kern w:val="2"/>
      <w:sz w:val="24"/>
      <w:szCs w:val="22"/>
      <w:lang w:val="en-US" w:eastAsia="zh-CN" w:bidi="ar-SA"/>
    </w:rPr>
  </w:style>
  <w:style w:type="paragraph" w:styleId="3">
    <w:name w:val="heading 1"/>
    <w:basedOn w:val="4"/>
    <w:next w:val="1"/>
    <w:link w:val="68"/>
    <w:autoRedefine/>
    <w:qFormat/>
    <w:uiPriority w:val="9"/>
    <w:pPr>
      <w:numPr>
        <w:ilvl w:val="0"/>
      </w:numPr>
      <w:ind w:left="0" w:firstLine="0" w:firstLineChars="0"/>
      <w:jc w:val="left"/>
      <w:outlineLvl w:val="0"/>
    </w:pPr>
    <w:rPr>
      <w:bCs w:val="0"/>
      <w:kern w:val="44"/>
      <w:sz w:val="32"/>
      <w:szCs w:val="44"/>
      <w:lang w:val="en-US"/>
    </w:rPr>
  </w:style>
  <w:style w:type="paragraph" w:styleId="4">
    <w:name w:val="heading 2"/>
    <w:basedOn w:val="5"/>
    <w:next w:val="1"/>
    <w:link w:val="67"/>
    <w:autoRedefine/>
    <w:unhideWhenUsed/>
    <w:qFormat/>
    <w:uiPriority w:val="9"/>
    <w:pPr>
      <w:numPr>
        <w:ilvl w:val="1"/>
      </w:numPr>
      <w:ind w:left="576"/>
      <w:outlineLvl w:val="1"/>
    </w:pPr>
  </w:style>
  <w:style w:type="paragraph" w:styleId="5">
    <w:name w:val="heading 3"/>
    <w:basedOn w:val="1"/>
    <w:next w:val="1"/>
    <w:link w:val="66"/>
    <w:autoRedefine/>
    <w:unhideWhenUsed/>
    <w:qFormat/>
    <w:uiPriority w:val="9"/>
    <w:pPr>
      <w:numPr>
        <w:ilvl w:val="2"/>
        <w:numId w:val="1"/>
      </w:numPr>
      <w:adjustRightInd w:val="0"/>
      <w:snapToGrid w:val="0"/>
      <w:spacing w:before="50" w:after="50"/>
      <w:ind w:left="0" w:firstLine="200" w:firstLineChars="200"/>
      <w:outlineLvl w:val="2"/>
    </w:pPr>
    <w:rPr>
      <w:rFonts w:eastAsia="仿宋"/>
      <w:b/>
      <w:bCs/>
      <w:kern w:val="0"/>
      <w:sz w:val="28"/>
      <w:szCs w:val="32"/>
      <w:lang w:val="zh-CN"/>
    </w:rPr>
  </w:style>
  <w:style w:type="paragraph" w:styleId="6">
    <w:name w:val="heading 4"/>
    <w:basedOn w:val="1"/>
    <w:next w:val="1"/>
    <w:link w:val="69"/>
    <w:autoRedefine/>
    <w:unhideWhenUsed/>
    <w:qFormat/>
    <w:uiPriority w:val="9"/>
    <w:pPr>
      <w:keepNext/>
      <w:keepLines/>
      <w:spacing w:before="156" w:after="156" w:line="377" w:lineRule="auto"/>
      <w:outlineLvl w:val="3"/>
    </w:pPr>
    <w:rPr>
      <w:rFonts w:eastAsia="黑体"/>
      <w:bCs/>
      <w:kern w:val="0"/>
      <w:szCs w:val="28"/>
      <w:lang w:val="zh-CN"/>
    </w:rPr>
  </w:style>
  <w:style w:type="paragraph" w:styleId="7">
    <w:name w:val="heading 5"/>
    <w:basedOn w:val="1"/>
    <w:next w:val="1"/>
    <w:link w:val="70"/>
    <w:autoRedefine/>
    <w:unhideWhenUsed/>
    <w:qFormat/>
    <w:uiPriority w:val="9"/>
    <w:pPr>
      <w:keepNext/>
      <w:keepLines/>
      <w:numPr>
        <w:ilvl w:val="0"/>
        <w:numId w:val="2"/>
      </w:numPr>
      <w:spacing w:before="156" w:after="156" w:line="377" w:lineRule="auto"/>
      <w:outlineLvl w:val="4"/>
    </w:pPr>
    <w:rPr>
      <w:b/>
      <w:bCs/>
      <w:kern w:val="0"/>
      <w:szCs w:val="28"/>
      <w:lang w:val="zh-CN"/>
    </w:rPr>
  </w:style>
  <w:style w:type="paragraph" w:styleId="8">
    <w:name w:val="heading 6"/>
    <w:basedOn w:val="1"/>
    <w:next w:val="1"/>
    <w:link w:val="71"/>
    <w:autoRedefine/>
    <w:unhideWhenUsed/>
    <w:qFormat/>
    <w:uiPriority w:val="9"/>
    <w:pPr>
      <w:keepNext/>
      <w:keepLines/>
      <w:spacing w:before="156" w:after="156" w:line="320" w:lineRule="auto"/>
      <w:outlineLvl w:val="5"/>
    </w:pPr>
    <w:rPr>
      <w:rFonts w:ascii="Cambria" w:hAnsi="Cambria"/>
      <w:b/>
      <w:bCs/>
      <w:kern w:val="0"/>
      <w:szCs w:val="24"/>
      <w:lang w:val="zh-CN"/>
    </w:rPr>
  </w:style>
  <w:style w:type="paragraph" w:styleId="9">
    <w:name w:val="heading 7"/>
    <w:basedOn w:val="1"/>
    <w:next w:val="1"/>
    <w:link w:val="72"/>
    <w:autoRedefine/>
    <w:unhideWhenUsed/>
    <w:qFormat/>
    <w:uiPriority w:val="9"/>
    <w:pPr>
      <w:keepNext/>
      <w:keepLines/>
      <w:spacing w:before="240" w:after="64" w:line="320" w:lineRule="auto"/>
      <w:outlineLvl w:val="6"/>
    </w:pPr>
    <w:rPr>
      <w:b/>
      <w:bCs/>
      <w:kern w:val="0"/>
      <w:szCs w:val="24"/>
      <w:lang w:val="zh-CN"/>
    </w:rPr>
  </w:style>
  <w:style w:type="paragraph" w:styleId="10">
    <w:name w:val="heading 8"/>
    <w:basedOn w:val="1"/>
    <w:next w:val="1"/>
    <w:link w:val="73"/>
    <w:autoRedefine/>
    <w:unhideWhenUsed/>
    <w:qFormat/>
    <w:uiPriority w:val="9"/>
    <w:pPr>
      <w:keepNext/>
      <w:keepLines/>
      <w:spacing w:before="240" w:after="64" w:line="320" w:lineRule="auto"/>
      <w:outlineLvl w:val="7"/>
    </w:pPr>
    <w:rPr>
      <w:rFonts w:ascii="Cambria" w:hAnsi="Cambria"/>
      <w:kern w:val="0"/>
      <w:szCs w:val="24"/>
      <w:lang w:val="zh-CN"/>
    </w:rPr>
  </w:style>
  <w:style w:type="paragraph" w:styleId="11">
    <w:name w:val="heading 9"/>
    <w:basedOn w:val="1"/>
    <w:next w:val="1"/>
    <w:link w:val="74"/>
    <w:autoRedefine/>
    <w:unhideWhenUsed/>
    <w:qFormat/>
    <w:uiPriority w:val="9"/>
    <w:pPr>
      <w:keepNext/>
      <w:keepLines/>
      <w:spacing w:before="240" w:after="64" w:line="320" w:lineRule="auto"/>
      <w:outlineLvl w:val="8"/>
    </w:pPr>
    <w:rPr>
      <w:rFonts w:ascii="Cambria" w:hAnsi="Cambria"/>
      <w:kern w:val="0"/>
      <w:szCs w:val="21"/>
      <w:lang w:val="zh-CN"/>
    </w:rPr>
  </w:style>
  <w:style w:type="character" w:default="1" w:styleId="56">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style>
  <w:style w:type="paragraph" w:styleId="12">
    <w:name w:val="toc 7"/>
    <w:basedOn w:val="1"/>
    <w:next w:val="1"/>
    <w:autoRedefine/>
    <w:unhideWhenUsed/>
    <w:qFormat/>
    <w:uiPriority w:val="39"/>
    <w:pPr>
      <w:spacing w:beforeLines="0" w:afterLines="0" w:line="240" w:lineRule="auto"/>
      <w:ind w:left="2520" w:leftChars="1200"/>
    </w:pPr>
    <w:rPr>
      <w:rFonts w:ascii="Calibri" w:hAnsi="Calibri"/>
      <w:sz w:val="21"/>
    </w:rPr>
  </w:style>
  <w:style w:type="paragraph" w:styleId="13">
    <w:name w:val="Normal Indent"/>
    <w:basedOn w:val="1"/>
    <w:autoRedefine/>
    <w:qFormat/>
    <w:uiPriority w:val="0"/>
    <w:pPr>
      <w:spacing w:line="440" w:lineRule="exact"/>
      <w:ind w:firstLine="420"/>
    </w:pPr>
    <w:rPr>
      <w:szCs w:val="24"/>
    </w:rPr>
  </w:style>
  <w:style w:type="paragraph" w:styleId="14">
    <w:name w:val="caption"/>
    <w:basedOn w:val="1"/>
    <w:next w:val="1"/>
    <w:link w:val="75"/>
    <w:autoRedefine/>
    <w:qFormat/>
    <w:uiPriority w:val="35"/>
    <w:rPr>
      <w:rFonts w:ascii="Cambria" w:hAnsi="Cambria" w:eastAsia="黑体"/>
      <w:kern w:val="0"/>
      <w:sz w:val="20"/>
      <w:szCs w:val="20"/>
      <w:lang w:val="zh-CN"/>
    </w:rPr>
  </w:style>
  <w:style w:type="paragraph" w:styleId="15">
    <w:name w:val="Document Map"/>
    <w:basedOn w:val="1"/>
    <w:link w:val="76"/>
    <w:autoRedefine/>
    <w:unhideWhenUsed/>
    <w:qFormat/>
    <w:uiPriority w:val="99"/>
    <w:rPr>
      <w:rFonts w:ascii="宋体"/>
      <w:kern w:val="0"/>
      <w:sz w:val="18"/>
      <w:szCs w:val="18"/>
      <w:lang w:val="zh-CN"/>
    </w:rPr>
  </w:style>
  <w:style w:type="paragraph" w:styleId="16">
    <w:name w:val="toa heading"/>
    <w:basedOn w:val="1"/>
    <w:next w:val="1"/>
    <w:autoRedefine/>
    <w:qFormat/>
    <w:uiPriority w:val="0"/>
    <w:pPr>
      <w:adjustRightInd w:val="0"/>
      <w:snapToGrid w:val="0"/>
      <w:spacing w:beforeLines="0" w:afterLines="0"/>
      <w:ind w:firstLine="560" w:firstLineChars="200"/>
    </w:pPr>
    <w:rPr>
      <w:rFonts w:ascii="Arial" w:hAnsi="Arial" w:cs="Arial"/>
      <w:szCs w:val="21"/>
    </w:rPr>
  </w:style>
  <w:style w:type="paragraph" w:styleId="17">
    <w:name w:val="annotation text"/>
    <w:basedOn w:val="1"/>
    <w:link w:val="77"/>
    <w:autoRedefine/>
    <w:unhideWhenUsed/>
    <w:qFormat/>
    <w:uiPriority w:val="99"/>
    <w:pPr>
      <w:jc w:val="left"/>
    </w:pPr>
    <w:rPr>
      <w:kern w:val="0"/>
      <w:szCs w:val="20"/>
      <w:lang w:val="zh-CN"/>
    </w:rPr>
  </w:style>
  <w:style w:type="paragraph" w:styleId="18">
    <w:name w:val="Body Text 3"/>
    <w:basedOn w:val="19"/>
    <w:next w:val="19"/>
    <w:autoRedefine/>
    <w:qFormat/>
    <w:uiPriority w:val="0"/>
    <w:rPr>
      <w:sz w:val="16"/>
      <w:szCs w:val="24"/>
    </w:rPr>
  </w:style>
  <w:style w:type="paragraph" w:styleId="19">
    <w:name w:val="Body Text"/>
    <w:basedOn w:val="1"/>
    <w:next w:val="18"/>
    <w:link w:val="78"/>
    <w:autoRedefine/>
    <w:unhideWhenUsed/>
    <w:qFormat/>
    <w:uiPriority w:val="1"/>
    <w:pPr>
      <w:keepNext/>
      <w:keepLines/>
      <w:adjustRightInd w:val="0"/>
      <w:snapToGrid w:val="0"/>
      <w:spacing w:beforeLines="0" w:afterLines="0" w:line="240" w:lineRule="auto"/>
    </w:pPr>
    <w:rPr>
      <w:rFonts w:eastAsia="仿宋"/>
      <w:b/>
      <w:bCs/>
      <w:sz w:val="21"/>
      <w:szCs w:val="21"/>
      <w:lang w:val="zh-CN"/>
    </w:rPr>
  </w:style>
  <w:style w:type="paragraph" w:styleId="20">
    <w:name w:val="Body Text Indent"/>
    <w:basedOn w:val="1"/>
    <w:next w:val="21"/>
    <w:link w:val="79"/>
    <w:autoRedefine/>
    <w:unhideWhenUsed/>
    <w:qFormat/>
    <w:uiPriority w:val="0"/>
    <w:pPr>
      <w:spacing w:after="120"/>
      <w:ind w:left="420" w:leftChars="200"/>
    </w:pPr>
  </w:style>
  <w:style w:type="paragraph" w:styleId="21">
    <w:name w:val="Body Text Indent 2"/>
    <w:basedOn w:val="1"/>
    <w:next w:val="22"/>
    <w:autoRedefine/>
    <w:qFormat/>
    <w:uiPriority w:val="0"/>
    <w:pPr>
      <w:ind w:firstLine="560" w:firstLineChars="200"/>
    </w:pPr>
    <w:rPr>
      <w:color w:val="0000FF"/>
      <w:sz w:val="28"/>
    </w:rPr>
  </w:style>
  <w:style w:type="paragraph" w:styleId="22">
    <w:name w:val="Body Text Indent 3"/>
    <w:basedOn w:val="1"/>
    <w:autoRedefine/>
    <w:qFormat/>
    <w:uiPriority w:val="0"/>
    <w:pPr>
      <w:spacing w:afterLines="0"/>
      <w:ind w:left="200" w:leftChars="200"/>
    </w:pPr>
    <w:rPr>
      <w:sz w:val="16"/>
    </w:rPr>
  </w:style>
  <w:style w:type="paragraph" w:styleId="23">
    <w:name w:val="toc 5"/>
    <w:basedOn w:val="1"/>
    <w:next w:val="1"/>
    <w:autoRedefine/>
    <w:unhideWhenUsed/>
    <w:qFormat/>
    <w:uiPriority w:val="39"/>
    <w:pPr>
      <w:spacing w:beforeLines="0" w:afterLines="0" w:line="240" w:lineRule="auto"/>
      <w:ind w:left="1680" w:leftChars="800"/>
    </w:pPr>
    <w:rPr>
      <w:rFonts w:ascii="Calibri" w:hAnsi="Calibri"/>
      <w:sz w:val="21"/>
    </w:rPr>
  </w:style>
  <w:style w:type="paragraph" w:styleId="24">
    <w:name w:val="toc 3"/>
    <w:basedOn w:val="1"/>
    <w:next w:val="1"/>
    <w:autoRedefine/>
    <w:unhideWhenUsed/>
    <w:qFormat/>
    <w:uiPriority w:val="39"/>
    <w:pPr>
      <w:ind w:left="840" w:leftChars="400"/>
    </w:pPr>
  </w:style>
  <w:style w:type="paragraph" w:styleId="25">
    <w:name w:val="Plain Text"/>
    <w:basedOn w:val="1"/>
    <w:link w:val="147"/>
    <w:autoRedefine/>
    <w:qFormat/>
    <w:uiPriority w:val="99"/>
    <w:pPr>
      <w:adjustRightInd w:val="0"/>
      <w:snapToGrid w:val="0"/>
      <w:spacing w:beforeLines="0" w:afterLines="0"/>
      <w:ind w:firstLine="560" w:firstLineChars="200"/>
    </w:pPr>
    <w:rPr>
      <w:rFonts w:ascii="宋体" w:hAnsi="Courier New"/>
      <w:sz w:val="21"/>
      <w:szCs w:val="21"/>
      <w:lang w:val="zh-CN"/>
    </w:rPr>
  </w:style>
  <w:style w:type="paragraph" w:styleId="26">
    <w:name w:val="List Number 4"/>
    <w:basedOn w:val="1"/>
    <w:autoRedefine/>
    <w:semiHidden/>
    <w:unhideWhenUsed/>
    <w:qFormat/>
    <w:uiPriority w:val="99"/>
    <w:pPr>
      <w:numPr>
        <w:ilvl w:val="0"/>
        <w:numId w:val="3"/>
      </w:numPr>
      <w:adjustRightInd w:val="0"/>
      <w:snapToGrid w:val="0"/>
      <w:spacing w:beforeLines="0" w:afterLines="0"/>
      <w:contextualSpacing/>
    </w:pPr>
    <w:rPr>
      <w:rFonts w:eastAsia="仿宋_GB2312"/>
      <w:sz w:val="28"/>
      <w:szCs w:val="21"/>
    </w:rPr>
  </w:style>
  <w:style w:type="paragraph" w:styleId="27">
    <w:name w:val="toc 8"/>
    <w:basedOn w:val="1"/>
    <w:next w:val="1"/>
    <w:autoRedefine/>
    <w:unhideWhenUsed/>
    <w:qFormat/>
    <w:uiPriority w:val="39"/>
    <w:pPr>
      <w:spacing w:beforeLines="0" w:afterLines="0" w:line="240" w:lineRule="auto"/>
      <w:ind w:left="2940" w:leftChars="1400"/>
    </w:pPr>
    <w:rPr>
      <w:rFonts w:ascii="Calibri" w:hAnsi="Calibri"/>
      <w:sz w:val="21"/>
    </w:rPr>
  </w:style>
  <w:style w:type="paragraph" w:styleId="28">
    <w:name w:val="Date"/>
    <w:basedOn w:val="1"/>
    <w:next w:val="1"/>
    <w:link w:val="148"/>
    <w:autoRedefine/>
    <w:semiHidden/>
    <w:unhideWhenUsed/>
    <w:qFormat/>
    <w:uiPriority w:val="99"/>
    <w:pPr>
      <w:ind w:left="100" w:leftChars="2500"/>
    </w:pPr>
  </w:style>
  <w:style w:type="paragraph" w:styleId="29">
    <w:name w:val="Balloon Text"/>
    <w:basedOn w:val="1"/>
    <w:link w:val="80"/>
    <w:autoRedefine/>
    <w:unhideWhenUsed/>
    <w:qFormat/>
    <w:uiPriority w:val="99"/>
    <w:rPr>
      <w:kern w:val="0"/>
      <w:sz w:val="18"/>
      <w:szCs w:val="18"/>
      <w:lang w:val="zh-CN"/>
    </w:rPr>
  </w:style>
  <w:style w:type="paragraph" w:styleId="30">
    <w:name w:val="footer"/>
    <w:basedOn w:val="1"/>
    <w:link w:val="81"/>
    <w:autoRedefine/>
    <w:unhideWhenUsed/>
    <w:qFormat/>
    <w:uiPriority w:val="99"/>
    <w:pPr>
      <w:tabs>
        <w:tab w:val="center" w:pos="4153"/>
        <w:tab w:val="right" w:pos="8306"/>
      </w:tabs>
      <w:snapToGrid w:val="0"/>
      <w:jc w:val="left"/>
    </w:pPr>
    <w:rPr>
      <w:sz w:val="18"/>
      <w:szCs w:val="18"/>
    </w:rPr>
  </w:style>
  <w:style w:type="paragraph" w:styleId="31">
    <w:name w:val="header"/>
    <w:basedOn w:val="1"/>
    <w:link w:val="8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unhideWhenUsed/>
    <w:qFormat/>
    <w:uiPriority w:val="39"/>
  </w:style>
  <w:style w:type="paragraph" w:styleId="33">
    <w:name w:val="toc 4"/>
    <w:basedOn w:val="1"/>
    <w:next w:val="1"/>
    <w:autoRedefine/>
    <w:unhideWhenUsed/>
    <w:qFormat/>
    <w:uiPriority w:val="39"/>
    <w:pPr>
      <w:spacing w:beforeLines="0" w:afterLines="0" w:line="240" w:lineRule="auto"/>
      <w:ind w:left="1260" w:leftChars="600"/>
    </w:pPr>
    <w:rPr>
      <w:rFonts w:ascii="Calibri" w:hAnsi="Calibri"/>
      <w:sz w:val="21"/>
    </w:rPr>
  </w:style>
  <w:style w:type="paragraph" w:styleId="34">
    <w:name w:val="Subtitle"/>
    <w:basedOn w:val="1"/>
    <w:next w:val="1"/>
    <w:link w:val="83"/>
    <w:autoRedefine/>
    <w:qFormat/>
    <w:uiPriority w:val="11"/>
    <w:pPr>
      <w:spacing w:before="156" w:after="156" w:line="312" w:lineRule="auto"/>
      <w:jc w:val="center"/>
    </w:pPr>
    <w:rPr>
      <w:rFonts w:eastAsia="黑体"/>
      <w:bCs/>
      <w:kern w:val="28"/>
      <w:sz w:val="20"/>
      <w:szCs w:val="32"/>
      <w:lang w:val="zh-CN"/>
    </w:rPr>
  </w:style>
  <w:style w:type="paragraph" w:styleId="35">
    <w:name w:val="footnote text"/>
    <w:basedOn w:val="1"/>
    <w:link w:val="175"/>
    <w:autoRedefine/>
    <w:unhideWhenUsed/>
    <w:qFormat/>
    <w:uiPriority w:val="99"/>
    <w:pPr>
      <w:snapToGrid w:val="0"/>
      <w:spacing w:beforeLines="0" w:afterLines="0"/>
      <w:ind w:firstLine="200" w:firstLineChars="200"/>
      <w:jc w:val="left"/>
    </w:pPr>
    <w:rPr>
      <w:rFonts w:ascii="Calibri" w:hAnsi="Calibri"/>
      <w:kern w:val="0"/>
      <w:sz w:val="18"/>
      <w:szCs w:val="18"/>
    </w:rPr>
  </w:style>
  <w:style w:type="paragraph" w:styleId="36">
    <w:name w:val="toc 6"/>
    <w:basedOn w:val="1"/>
    <w:next w:val="1"/>
    <w:autoRedefine/>
    <w:unhideWhenUsed/>
    <w:qFormat/>
    <w:uiPriority w:val="39"/>
    <w:pPr>
      <w:spacing w:beforeLines="0" w:afterLines="0" w:line="240" w:lineRule="auto"/>
      <w:ind w:left="2100" w:leftChars="1000"/>
    </w:pPr>
    <w:rPr>
      <w:rFonts w:ascii="Calibri" w:hAnsi="Calibri"/>
      <w:sz w:val="21"/>
    </w:rPr>
  </w:style>
  <w:style w:type="paragraph" w:styleId="37">
    <w:name w:val="index 9"/>
    <w:next w:val="1"/>
    <w:autoRedefine/>
    <w:qFormat/>
    <w:uiPriority w:val="0"/>
    <w:pPr>
      <w:widowControl w:val="0"/>
      <w:spacing w:line="594" w:lineRule="exact"/>
      <w:ind w:left="3360"/>
      <w:jc w:val="both"/>
    </w:pPr>
    <w:rPr>
      <w:rFonts w:ascii="Times New Roman" w:hAnsi="Times New Roman" w:eastAsia="方正仿宋简体" w:cs="Times New Roman"/>
      <w:kern w:val="2"/>
      <w:sz w:val="32"/>
      <w:szCs w:val="32"/>
      <w:lang w:val="en-US" w:eastAsia="zh-CN" w:bidi="ar-SA"/>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unhideWhenUsed/>
    <w:qFormat/>
    <w:uiPriority w:val="39"/>
    <w:pPr>
      <w:spacing w:beforeLines="0" w:afterLines="0" w:line="240" w:lineRule="auto"/>
      <w:ind w:left="3360" w:leftChars="1600"/>
    </w:pPr>
    <w:rPr>
      <w:rFonts w:ascii="Calibri" w:hAnsi="Calibri"/>
      <w:sz w:val="21"/>
    </w:rPr>
  </w:style>
  <w:style w:type="paragraph" w:styleId="40">
    <w:name w:val="HTML Preformatted"/>
    <w:basedOn w:val="1"/>
    <w:link w:val="172"/>
    <w:autoRedefine/>
    <w:unhideWhenUsed/>
    <w:qFormat/>
    <w:uiPriority w:val="0"/>
    <w:pPr>
      <w:spacing w:beforeLines="0" w:afterLines="0"/>
      <w:ind w:firstLine="420" w:firstLineChars="200"/>
    </w:pPr>
    <w:rPr>
      <w:rFonts w:ascii="Courier New" w:hAnsi="Courier New" w:eastAsia="仿宋_GB2312" w:cs="Courier New"/>
      <w:sz w:val="20"/>
      <w:szCs w:val="20"/>
    </w:rPr>
  </w:style>
  <w:style w:type="paragraph" w:styleId="41">
    <w:name w:val="Normal (Web)"/>
    <w:basedOn w:val="1"/>
    <w:next w:val="37"/>
    <w:autoRedefine/>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42">
    <w:name w:val="Title"/>
    <w:basedOn w:val="1"/>
    <w:next w:val="1"/>
    <w:link w:val="84"/>
    <w:autoRedefine/>
    <w:qFormat/>
    <w:uiPriority w:val="99"/>
    <w:pPr>
      <w:spacing w:before="240" w:after="60"/>
      <w:jc w:val="center"/>
      <w:outlineLvl w:val="0"/>
    </w:pPr>
    <w:rPr>
      <w:rFonts w:ascii="Cambria" w:hAnsi="Cambria"/>
      <w:b/>
      <w:bCs/>
      <w:kern w:val="0"/>
      <w:sz w:val="32"/>
      <w:szCs w:val="32"/>
      <w:lang w:val="zh-CN"/>
    </w:rPr>
  </w:style>
  <w:style w:type="paragraph" w:styleId="43">
    <w:name w:val="annotation subject"/>
    <w:basedOn w:val="17"/>
    <w:next w:val="17"/>
    <w:link w:val="85"/>
    <w:autoRedefine/>
    <w:unhideWhenUsed/>
    <w:qFormat/>
    <w:uiPriority w:val="99"/>
    <w:pPr>
      <w:adjustRightInd w:val="0"/>
      <w:spacing w:line="360" w:lineRule="atLeast"/>
      <w:textAlignment w:val="baseline"/>
    </w:pPr>
    <w:rPr>
      <w:b/>
      <w:bCs/>
      <w:szCs w:val="24"/>
    </w:rPr>
  </w:style>
  <w:style w:type="paragraph" w:styleId="44">
    <w:name w:val="Body Text First Indent"/>
    <w:basedOn w:val="19"/>
    <w:link w:val="86"/>
    <w:autoRedefine/>
    <w:qFormat/>
    <w:uiPriority w:val="99"/>
    <w:pPr>
      <w:ind w:firstLine="420" w:firstLineChars="100"/>
    </w:pPr>
    <w:rPr>
      <w:szCs w:val="24"/>
    </w:rPr>
  </w:style>
  <w:style w:type="paragraph" w:styleId="45">
    <w:name w:val="Body Text First Indent 2"/>
    <w:basedOn w:val="20"/>
    <w:next w:val="1"/>
    <w:link w:val="87"/>
    <w:autoRedefine/>
    <w:unhideWhenUsed/>
    <w:qFormat/>
    <w:uiPriority w:val="0"/>
    <w:pPr>
      <w:spacing w:line="560" w:lineRule="exact"/>
      <w:ind w:firstLine="420" w:firstLineChars="200"/>
    </w:pPr>
    <w:rPr>
      <w:rFonts w:hint="eastAsia" w:ascii="宋体" w:hAnsi="宋体" w:eastAsia="仿宋_GB2312"/>
      <w:sz w:val="32"/>
      <w:szCs w:val="24"/>
    </w:rPr>
  </w:style>
  <w:style w:type="table" w:styleId="47">
    <w:name w:val="Table Grid"/>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Light Shading"/>
    <w:basedOn w:val="46"/>
    <w:autoRedefine/>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9">
    <w:name w:val="Light Shading Accent 3"/>
    <w:basedOn w:val="46"/>
    <w:autoRedefine/>
    <w:semiHidden/>
    <w:unhideWhenUsed/>
    <w:qFormat/>
    <w:uiPriority w:val="60"/>
    <w:rPr>
      <w:color w:val="7B7B7B"/>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50">
    <w:name w:val="Light Shading Accent 5"/>
    <w:basedOn w:val="46"/>
    <w:autoRedefine/>
    <w:semiHidden/>
    <w:unhideWhenUsed/>
    <w:qFormat/>
    <w:uiPriority w:val="60"/>
    <w:rPr>
      <w:color w:val="2F5496"/>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51">
    <w:name w:val="Light List Accent 2"/>
    <w:basedOn w:val="46"/>
    <w:autoRedefine/>
    <w:semiHidden/>
    <w:unhideWhenUsed/>
    <w:qFormat/>
    <w:uiPriority w:val="61"/>
    <w:tblPr>
      <w:tblBorders>
        <w:top w:val="single" w:color="ED7D31" w:sz="8" w:space="0"/>
        <w:left w:val="single" w:color="ED7D31" w:sz="8" w:space="0"/>
        <w:bottom w:val="single" w:color="ED7D31" w:sz="8" w:space="0"/>
        <w:right w:val="single" w:color="ED7D31" w:sz="8" w:space="0"/>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color="ED7D31" w:sz="6" w:space="0"/>
          <w:left w:val="single" w:color="ED7D31" w:sz="8" w:space="0"/>
          <w:bottom w:val="single" w:color="ED7D31" w:sz="8" w:space="0"/>
          <w:right w:val="single" w:color="ED7D31" w:sz="8" w:space="0"/>
        </w:tcBorders>
      </w:tcPr>
    </w:tblStylePr>
    <w:tblStylePr w:type="firstCol">
      <w:rPr>
        <w:b/>
        <w:bCs/>
      </w:rPr>
    </w:tblStylePr>
    <w:tblStylePr w:type="lastCol">
      <w:rPr>
        <w:b/>
        <w:bCs/>
      </w:rPr>
    </w:tblStylePr>
    <w:tblStylePr w:type="band1Vert">
      <w:tblPr/>
      <w:tcPr>
        <w:tcBorders>
          <w:top w:val="single" w:color="ED7D31" w:sz="8" w:space="0"/>
          <w:left w:val="single" w:color="ED7D31" w:sz="8" w:space="0"/>
          <w:bottom w:val="single" w:color="ED7D31" w:sz="8" w:space="0"/>
          <w:right w:val="single" w:color="ED7D31" w:sz="8" w:space="0"/>
        </w:tcBorders>
      </w:tcPr>
    </w:tblStylePr>
    <w:tblStylePr w:type="band1Horz">
      <w:tblPr/>
      <w:tcPr>
        <w:tcBorders>
          <w:top w:val="single" w:color="ED7D31" w:sz="8" w:space="0"/>
          <w:left w:val="single" w:color="ED7D31" w:sz="8" w:space="0"/>
          <w:bottom w:val="single" w:color="ED7D31" w:sz="8" w:space="0"/>
          <w:right w:val="single" w:color="ED7D31" w:sz="8" w:space="0"/>
        </w:tcBorders>
      </w:tcPr>
    </w:tblStylePr>
  </w:style>
  <w:style w:type="table" w:styleId="52">
    <w:name w:val="Light List Accent 3"/>
    <w:basedOn w:val="46"/>
    <w:autoRedefine/>
    <w:semiHidden/>
    <w:unhideWhenUsed/>
    <w:qFormat/>
    <w:uiPriority w:val="61"/>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styleId="53">
    <w:name w:val="Light List Accent 6"/>
    <w:basedOn w:val="46"/>
    <w:autoRedefine/>
    <w:semiHidden/>
    <w:unhideWhenUsed/>
    <w:qFormat/>
    <w:uiPriority w:val="61"/>
    <w:tblPr>
      <w:tblBorders>
        <w:top w:val="single" w:color="70AD47" w:sz="8" w:space="0"/>
        <w:left w:val="single" w:color="70AD47" w:sz="8" w:space="0"/>
        <w:bottom w:val="single" w:color="70AD47" w:sz="8" w:space="0"/>
        <w:right w:val="single" w:color="70AD47" w:sz="8" w:space="0"/>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color="70AD47" w:sz="6" w:space="0"/>
          <w:left w:val="single" w:color="70AD47" w:sz="8" w:space="0"/>
          <w:bottom w:val="single" w:color="70AD47" w:sz="8" w:space="0"/>
          <w:right w:val="single" w:color="70AD47" w:sz="8" w:space="0"/>
        </w:tcBorders>
      </w:tcPr>
    </w:tblStylePr>
    <w:tblStylePr w:type="firstCol">
      <w:rPr>
        <w:b/>
        <w:bCs/>
      </w:rPr>
    </w:tblStylePr>
    <w:tblStylePr w:type="lastCol">
      <w:rPr>
        <w:b/>
        <w:bCs/>
      </w:rPr>
    </w:tblStylePr>
    <w:tblStylePr w:type="band1Vert">
      <w:tblPr/>
      <w:tcPr>
        <w:tcBorders>
          <w:top w:val="single" w:color="70AD47" w:sz="8" w:space="0"/>
          <w:left w:val="single" w:color="70AD47" w:sz="8" w:space="0"/>
          <w:bottom w:val="single" w:color="70AD47" w:sz="8" w:space="0"/>
          <w:right w:val="single" w:color="70AD47" w:sz="8" w:space="0"/>
        </w:tcBorders>
      </w:tcPr>
    </w:tblStylePr>
    <w:tblStylePr w:type="band1Horz">
      <w:tblPr/>
      <w:tcPr>
        <w:tcBorders>
          <w:top w:val="single" w:color="70AD47" w:sz="8" w:space="0"/>
          <w:left w:val="single" w:color="70AD47" w:sz="8" w:space="0"/>
          <w:bottom w:val="single" w:color="70AD47" w:sz="8" w:space="0"/>
          <w:right w:val="single" w:color="70AD47" w:sz="8" w:space="0"/>
        </w:tcBorders>
      </w:tcPr>
    </w:tblStylePr>
  </w:style>
  <w:style w:type="table" w:styleId="54">
    <w:name w:val="Medium Shading 2 Accent 3"/>
    <w:basedOn w:val="46"/>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5">
    <w:name w:val="Medium List 1 Accent 5"/>
    <w:basedOn w:val="46"/>
    <w:autoRedefine/>
    <w:semiHidden/>
    <w:unhideWhenUsed/>
    <w:qFormat/>
    <w:uiPriority w:val="65"/>
    <w:rPr>
      <w:color w:val="000000"/>
    </w:rPr>
    <w:tblPr>
      <w:tblBorders>
        <w:top w:val="single" w:color="4472C4" w:sz="8" w:space="0"/>
        <w:bottom w:val="single" w:color="4472C4" w:sz="8" w:space="0"/>
      </w:tblBorders>
    </w:tblPr>
    <w:tblStylePr w:type="firstRow">
      <w:rPr>
        <w:rFonts w:ascii="Calibri Light" w:hAnsi="Calibri Light" w:eastAsia="宋体" w:cs="Times New Roman"/>
      </w:rPr>
      <w:tblPr/>
      <w:tcPr>
        <w:tcBorders>
          <w:top w:val="nil"/>
          <w:bottom w:val="single" w:color="4472C4" w:sz="8" w:space="0"/>
        </w:tcBorders>
      </w:tcPr>
    </w:tblStylePr>
    <w:tblStylePr w:type="lastRow">
      <w:rPr>
        <w:b/>
        <w:bCs/>
        <w:color w:val="44546A"/>
      </w:rPr>
      <w:tblPr/>
      <w:tcPr>
        <w:tcBorders>
          <w:top w:val="single" w:color="4472C4" w:sz="8" w:space="0"/>
          <w:bottom w:val="single" w:color="4472C4" w:sz="8" w:space="0"/>
        </w:tcBorders>
      </w:tcPr>
    </w:tblStylePr>
    <w:tblStylePr w:type="firstCol">
      <w:rPr>
        <w:b/>
        <w:bCs/>
      </w:rPr>
    </w:tblStylePr>
    <w:tblStylePr w:type="lastCol">
      <w:rPr>
        <w:b/>
        <w:bCs/>
      </w:rPr>
      <w:tblPr/>
      <w:tcPr>
        <w:tcBorders>
          <w:top w:val="single" w:color="4472C4" w:sz="8" w:space="0"/>
          <w:bottom w:val="single" w:color="4472C4" w:sz="8" w:space="0"/>
        </w:tcBorders>
      </w:tcPr>
    </w:tblStylePr>
    <w:tblStylePr w:type="band1Vert">
      <w:tblPr/>
      <w:tcPr>
        <w:shd w:val="clear" w:color="auto" w:fill="D0DBF0"/>
      </w:tcPr>
    </w:tblStylePr>
    <w:tblStylePr w:type="band1Horz">
      <w:tblPr/>
      <w:tcPr>
        <w:shd w:val="clear" w:color="auto" w:fill="D0DBF0"/>
      </w:tcPr>
    </w:tblStylePr>
  </w:style>
  <w:style w:type="character" w:styleId="57">
    <w:name w:val="Strong"/>
    <w:autoRedefine/>
    <w:qFormat/>
    <w:uiPriority w:val="22"/>
    <w:rPr>
      <w:b/>
      <w:bCs/>
    </w:rPr>
  </w:style>
  <w:style w:type="character" w:styleId="58">
    <w:name w:val="page number"/>
    <w:basedOn w:val="56"/>
    <w:autoRedefine/>
    <w:qFormat/>
    <w:uiPriority w:val="0"/>
  </w:style>
  <w:style w:type="character" w:styleId="59">
    <w:name w:val="FollowedHyperlink"/>
    <w:autoRedefine/>
    <w:semiHidden/>
    <w:unhideWhenUsed/>
    <w:qFormat/>
    <w:uiPriority w:val="99"/>
    <w:rPr>
      <w:color w:val="800080"/>
      <w:u w:val="single"/>
    </w:rPr>
  </w:style>
  <w:style w:type="character" w:styleId="60">
    <w:name w:val="Emphasis"/>
    <w:autoRedefine/>
    <w:qFormat/>
    <w:uiPriority w:val="20"/>
    <w:rPr>
      <w:i/>
      <w:iCs/>
    </w:rPr>
  </w:style>
  <w:style w:type="character" w:styleId="61">
    <w:name w:val="Hyperlink"/>
    <w:autoRedefine/>
    <w:qFormat/>
    <w:uiPriority w:val="99"/>
    <w:rPr>
      <w:color w:val="136EC2"/>
      <w:u w:val="single"/>
    </w:rPr>
  </w:style>
  <w:style w:type="character" w:styleId="62">
    <w:name w:val="annotation reference"/>
    <w:basedOn w:val="56"/>
    <w:autoRedefine/>
    <w:unhideWhenUsed/>
    <w:qFormat/>
    <w:uiPriority w:val="99"/>
    <w:rPr>
      <w:sz w:val="21"/>
      <w:szCs w:val="21"/>
    </w:rPr>
  </w:style>
  <w:style w:type="character" w:styleId="63">
    <w:name w:val="footnote reference"/>
    <w:autoRedefine/>
    <w:unhideWhenUsed/>
    <w:qFormat/>
    <w:uiPriority w:val="99"/>
    <w:rPr>
      <w:vertAlign w:val="superscript"/>
    </w:rPr>
  </w:style>
  <w:style w:type="paragraph" w:customStyle="1" w:styleId="64">
    <w:name w:val="正文-公1"/>
    <w:next w:val="41"/>
    <w:autoRedefine/>
    <w:qFormat/>
    <w:uiPriority w:val="0"/>
    <w:pPr>
      <w:widowControl w:val="0"/>
      <w:ind w:firstLine="200" w:firstLineChars="200"/>
      <w:jc w:val="both"/>
    </w:pPr>
    <w:rPr>
      <w:rFonts w:ascii="Calibri" w:hAnsi="Calibri" w:eastAsia="宋体" w:cs="黑体"/>
      <w:color w:val="000000"/>
      <w:kern w:val="2"/>
      <w:sz w:val="21"/>
      <w:szCs w:val="24"/>
      <w:lang w:val="en-US" w:eastAsia="zh-CN" w:bidi="ar-SA"/>
    </w:rPr>
  </w:style>
  <w:style w:type="paragraph" w:customStyle="1" w:styleId="65">
    <w:name w:val="样式3"/>
    <w:link w:val="326"/>
    <w:autoRedefine/>
    <w:qFormat/>
    <w:uiPriority w:val="0"/>
    <w:pPr>
      <w:spacing w:afterLines="50" w:line="300" w:lineRule="auto"/>
      <w:jc w:val="center"/>
    </w:pPr>
    <w:rPr>
      <w:rFonts w:ascii="宋体" w:hAnsi="宋体" w:eastAsia="宋体" w:cs="Times New Roman"/>
      <w:b/>
      <w:sz w:val="21"/>
      <w:szCs w:val="21"/>
      <w:lang w:val="en-US" w:eastAsia="zh-CN" w:bidi="ar-SA"/>
    </w:rPr>
  </w:style>
  <w:style w:type="character" w:customStyle="1" w:styleId="66">
    <w:name w:val="标题 3 字符"/>
    <w:link w:val="5"/>
    <w:autoRedefine/>
    <w:qFormat/>
    <w:uiPriority w:val="0"/>
    <w:rPr>
      <w:rFonts w:ascii="Times New Roman" w:hAnsi="Times New Roman" w:eastAsia="仿宋"/>
      <w:b/>
      <w:bCs/>
      <w:sz w:val="28"/>
      <w:szCs w:val="32"/>
      <w:lang w:val="zh-CN"/>
    </w:rPr>
  </w:style>
  <w:style w:type="character" w:customStyle="1" w:styleId="67">
    <w:name w:val="标题 2 字符2"/>
    <w:link w:val="4"/>
    <w:autoRedefine/>
    <w:qFormat/>
    <w:uiPriority w:val="0"/>
    <w:rPr>
      <w:rFonts w:ascii="Times New Roman" w:hAnsi="Times New Roman" w:eastAsia="仿宋"/>
      <w:b/>
      <w:bCs/>
      <w:sz w:val="28"/>
      <w:szCs w:val="32"/>
      <w:lang w:val="zh-CN"/>
    </w:rPr>
  </w:style>
  <w:style w:type="character" w:customStyle="1" w:styleId="68">
    <w:name w:val="标题 1 字符"/>
    <w:link w:val="3"/>
    <w:autoRedefine/>
    <w:qFormat/>
    <w:uiPriority w:val="0"/>
    <w:rPr>
      <w:rFonts w:ascii="Times New Roman" w:hAnsi="Times New Roman" w:eastAsia="仿宋"/>
      <w:b/>
      <w:kern w:val="44"/>
      <w:sz w:val="32"/>
      <w:szCs w:val="44"/>
    </w:rPr>
  </w:style>
  <w:style w:type="character" w:customStyle="1" w:styleId="69">
    <w:name w:val="标题 4 字符"/>
    <w:link w:val="6"/>
    <w:autoRedefine/>
    <w:qFormat/>
    <w:uiPriority w:val="9"/>
    <w:rPr>
      <w:rFonts w:ascii="Times New Roman" w:hAnsi="Times New Roman" w:eastAsia="黑体" w:cs="Times New Roman"/>
      <w:bCs/>
      <w:kern w:val="0"/>
      <w:sz w:val="24"/>
      <w:szCs w:val="28"/>
      <w:lang w:val="zh-CN" w:eastAsia="zh-CN"/>
    </w:rPr>
  </w:style>
  <w:style w:type="character" w:customStyle="1" w:styleId="70">
    <w:name w:val="标题 5 字符"/>
    <w:link w:val="7"/>
    <w:autoRedefine/>
    <w:qFormat/>
    <w:uiPriority w:val="9"/>
    <w:rPr>
      <w:rFonts w:ascii="Times New Roman" w:hAnsi="Times New Roman"/>
      <w:b/>
      <w:bCs/>
      <w:sz w:val="24"/>
      <w:szCs w:val="28"/>
      <w:lang w:val="zh-CN"/>
    </w:rPr>
  </w:style>
  <w:style w:type="character" w:customStyle="1" w:styleId="71">
    <w:name w:val="标题 6 字符"/>
    <w:link w:val="8"/>
    <w:autoRedefine/>
    <w:qFormat/>
    <w:uiPriority w:val="9"/>
    <w:rPr>
      <w:rFonts w:ascii="Cambria" w:hAnsi="Cambria" w:eastAsia="宋体" w:cs="Times New Roman"/>
      <w:b/>
      <w:bCs/>
      <w:kern w:val="0"/>
      <w:sz w:val="24"/>
      <w:szCs w:val="24"/>
      <w:lang w:val="zh-CN" w:eastAsia="zh-CN"/>
    </w:rPr>
  </w:style>
  <w:style w:type="character" w:customStyle="1" w:styleId="72">
    <w:name w:val="标题 7 字符"/>
    <w:link w:val="9"/>
    <w:autoRedefine/>
    <w:qFormat/>
    <w:uiPriority w:val="9"/>
    <w:rPr>
      <w:rFonts w:ascii="Times New Roman" w:hAnsi="Times New Roman" w:eastAsia="宋体" w:cs="Times New Roman"/>
      <w:b/>
      <w:bCs/>
      <w:kern w:val="0"/>
      <w:sz w:val="24"/>
      <w:szCs w:val="24"/>
      <w:lang w:val="zh-CN" w:eastAsia="zh-CN"/>
    </w:rPr>
  </w:style>
  <w:style w:type="character" w:customStyle="1" w:styleId="73">
    <w:name w:val="标题 8 字符"/>
    <w:link w:val="10"/>
    <w:autoRedefine/>
    <w:qFormat/>
    <w:uiPriority w:val="9"/>
    <w:rPr>
      <w:rFonts w:ascii="Cambria" w:hAnsi="Cambria" w:eastAsia="宋体" w:cs="Times New Roman"/>
      <w:kern w:val="0"/>
      <w:sz w:val="24"/>
      <w:szCs w:val="24"/>
      <w:lang w:val="zh-CN" w:eastAsia="zh-CN"/>
    </w:rPr>
  </w:style>
  <w:style w:type="character" w:customStyle="1" w:styleId="74">
    <w:name w:val="标题 9 字符"/>
    <w:link w:val="11"/>
    <w:autoRedefine/>
    <w:qFormat/>
    <w:uiPriority w:val="9"/>
    <w:rPr>
      <w:rFonts w:ascii="Cambria" w:hAnsi="Cambria" w:eastAsia="宋体" w:cs="Times New Roman"/>
      <w:kern w:val="0"/>
      <w:sz w:val="24"/>
      <w:szCs w:val="21"/>
      <w:lang w:val="zh-CN" w:eastAsia="zh-CN"/>
    </w:rPr>
  </w:style>
  <w:style w:type="character" w:customStyle="1" w:styleId="75">
    <w:name w:val="题注 字符"/>
    <w:link w:val="14"/>
    <w:autoRedefine/>
    <w:qFormat/>
    <w:uiPriority w:val="0"/>
    <w:rPr>
      <w:rFonts w:ascii="Cambria" w:hAnsi="Cambria" w:eastAsia="黑体" w:cs="Times New Roman"/>
      <w:kern w:val="0"/>
      <w:sz w:val="20"/>
      <w:szCs w:val="20"/>
      <w:lang w:val="zh-CN" w:eastAsia="zh-CN"/>
    </w:rPr>
  </w:style>
  <w:style w:type="character" w:customStyle="1" w:styleId="76">
    <w:name w:val="文档结构图 字符"/>
    <w:link w:val="15"/>
    <w:autoRedefine/>
    <w:qFormat/>
    <w:uiPriority w:val="99"/>
    <w:rPr>
      <w:rFonts w:ascii="宋体" w:hAnsi="Times New Roman" w:eastAsia="宋体" w:cs="Times New Roman"/>
      <w:kern w:val="0"/>
      <w:sz w:val="18"/>
      <w:szCs w:val="18"/>
      <w:lang w:val="zh-CN" w:eastAsia="zh-CN"/>
    </w:rPr>
  </w:style>
  <w:style w:type="character" w:customStyle="1" w:styleId="77">
    <w:name w:val="批注文字 字符"/>
    <w:link w:val="17"/>
    <w:autoRedefine/>
    <w:qFormat/>
    <w:uiPriority w:val="99"/>
    <w:rPr>
      <w:rFonts w:ascii="Times New Roman" w:hAnsi="Times New Roman" w:eastAsia="宋体" w:cs="Times New Roman"/>
      <w:kern w:val="0"/>
      <w:sz w:val="24"/>
      <w:szCs w:val="20"/>
      <w:lang w:val="zh-CN" w:eastAsia="zh-CN"/>
    </w:rPr>
  </w:style>
  <w:style w:type="character" w:customStyle="1" w:styleId="78">
    <w:name w:val="正文文本 字符"/>
    <w:link w:val="19"/>
    <w:autoRedefine/>
    <w:qFormat/>
    <w:uiPriority w:val="1"/>
    <w:rPr>
      <w:rFonts w:eastAsia="仿宋"/>
      <w:b/>
      <w:bCs/>
      <w:kern w:val="2"/>
      <w:sz w:val="21"/>
      <w:szCs w:val="21"/>
      <w:lang w:val="zh-CN"/>
    </w:rPr>
  </w:style>
  <w:style w:type="character" w:customStyle="1" w:styleId="79">
    <w:name w:val="正文文本缩进 字符"/>
    <w:link w:val="20"/>
    <w:autoRedefine/>
    <w:qFormat/>
    <w:uiPriority w:val="0"/>
    <w:rPr>
      <w:rFonts w:ascii="Times New Roman" w:hAnsi="Times New Roman" w:eastAsia="宋体" w:cs="Times New Roman"/>
      <w:sz w:val="24"/>
    </w:rPr>
  </w:style>
  <w:style w:type="character" w:customStyle="1" w:styleId="80">
    <w:name w:val="批注框文本 字符"/>
    <w:link w:val="29"/>
    <w:autoRedefine/>
    <w:qFormat/>
    <w:uiPriority w:val="99"/>
    <w:rPr>
      <w:rFonts w:ascii="Times New Roman" w:hAnsi="Times New Roman" w:eastAsia="宋体" w:cs="Times New Roman"/>
      <w:kern w:val="0"/>
      <w:sz w:val="18"/>
      <w:szCs w:val="18"/>
      <w:lang w:val="zh-CN" w:eastAsia="zh-CN"/>
    </w:rPr>
  </w:style>
  <w:style w:type="character" w:customStyle="1" w:styleId="81">
    <w:name w:val="页脚 字符1"/>
    <w:link w:val="30"/>
    <w:autoRedefine/>
    <w:qFormat/>
    <w:uiPriority w:val="99"/>
    <w:rPr>
      <w:sz w:val="18"/>
      <w:szCs w:val="18"/>
    </w:rPr>
  </w:style>
  <w:style w:type="character" w:customStyle="1" w:styleId="82">
    <w:name w:val="页眉 字符"/>
    <w:link w:val="31"/>
    <w:autoRedefine/>
    <w:qFormat/>
    <w:uiPriority w:val="99"/>
    <w:rPr>
      <w:sz w:val="18"/>
      <w:szCs w:val="18"/>
    </w:rPr>
  </w:style>
  <w:style w:type="character" w:customStyle="1" w:styleId="83">
    <w:name w:val="副标题 字符"/>
    <w:link w:val="34"/>
    <w:autoRedefine/>
    <w:qFormat/>
    <w:uiPriority w:val="11"/>
    <w:rPr>
      <w:rFonts w:ascii="Times New Roman" w:hAnsi="Times New Roman" w:eastAsia="黑体" w:cs="Times New Roman"/>
      <w:bCs/>
      <w:kern w:val="28"/>
      <w:sz w:val="20"/>
      <w:szCs w:val="32"/>
      <w:lang w:val="zh-CN" w:eastAsia="zh-CN"/>
    </w:rPr>
  </w:style>
  <w:style w:type="character" w:customStyle="1" w:styleId="84">
    <w:name w:val="标题 字符"/>
    <w:link w:val="42"/>
    <w:autoRedefine/>
    <w:qFormat/>
    <w:uiPriority w:val="99"/>
    <w:rPr>
      <w:rFonts w:ascii="Cambria" w:hAnsi="Cambria" w:eastAsia="宋体" w:cs="Times New Roman"/>
      <w:b/>
      <w:bCs/>
      <w:kern w:val="0"/>
      <w:sz w:val="32"/>
      <w:szCs w:val="32"/>
      <w:lang w:val="zh-CN" w:eastAsia="zh-CN"/>
    </w:rPr>
  </w:style>
  <w:style w:type="character" w:customStyle="1" w:styleId="85">
    <w:name w:val="批注主题 字符"/>
    <w:link w:val="43"/>
    <w:autoRedefine/>
    <w:qFormat/>
    <w:uiPriority w:val="99"/>
    <w:rPr>
      <w:rFonts w:ascii="Times New Roman" w:hAnsi="Times New Roman" w:eastAsia="宋体" w:cs="Times New Roman"/>
      <w:b/>
      <w:bCs/>
      <w:kern w:val="0"/>
      <w:sz w:val="24"/>
      <w:szCs w:val="24"/>
      <w:lang w:val="zh-CN" w:eastAsia="zh-CN"/>
    </w:rPr>
  </w:style>
  <w:style w:type="character" w:customStyle="1" w:styleId="86">
    <w:name w:val="正文文本首行缩进 字符"/>
    <w:link w:val="44"/>
    <w:autoRedefine/>
    <w:qFormat/>
    <w:uiPriority w:val="99"/>
    <w:rPr>
      <w:rFonts w:ascii="Times New Roman" w:hAnsi="Times New Roman" w:eastAsia="宋体" w:cs="Times New Roman"/>
      <w:b/>
      <w:bCs/>
      <w:kern w:val="0"/>
      <w:sz w:val="24"/>
      <w:szCs w:val="24"/>
      <w:lang w:val="zh-CN" w:eastAsia="zh-CN"/>
    </w:rPr>
  </w:style>
  <w:style w:type="character" w:customStyle="1" w:styleId="87">
    <w:name w:val="正文文本首行缩进 2 字符"/>
    <w:link w:val="45"/>
    <w:autoRedefine/>
    <w:qFormat/>
    <w:uiPriority w:val="0"/>
    <w:rPr>
      <w:rFonts w:ascii="Times New Roman" w:hAnsi="Times New Roman" w:eastAsia="宋体" w:cs="Times New Roman"/>
      <w:sz w:val="24"/>
    </w:rPr>
  </w:style>
  <w:style w:type="paragraph" w:customStyle="1" w:styleId="88">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9">
    <w:name w:val="标题 2 字符"/>
    <w:autoRedefine/>
    <w:qFormat/>
    <w:uiPriority w:val="9"/>
    <w:rPr>
      <w:rFonts w:ascii="Times New Roman" w:hAnsi="Times New Roman" w:eastAsia="黑体" w:cs="Times New Roman"/>
      <w:bCs/>
      <w:kern w:val="0"/>
      <w:sz w:val="30"/>
      <w:szCs w:val="32"/>
      <w:lang w:val="zh-CN" w:eastAsia="zh-CN"/>
    </w:rPr>
  </w:style>
  <w:style w:type="table" w:customStyle="1" w:styleId="90">
    <w:name w:val="浅色底纹1"/>
    <w:basedOn w:val="46"/>
    <w:autoRedefine/>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91">
    <w:name w:val="_Style 60"/>
    <w:autoRedefine/>
    <w:qFormat/>
    <w:uiPriority w:val="65"/>
    <w:rPr>
      <w:rFonts w:ascii="Calibri" w:hAnsi="Calibri" w:eastAsia="宋体" w:cs="Times New Roman"/>
      <w:color w:val="000000"/>
      <w:lang w:val="en-US" w:eastAsia="zh-CN" w:bidi="ar-SA"/>
    </w:rPr>
  </w:style>
  <w:style w:type="paragraph" w:customStyle="1" w:styleId="92">
    <w:name w:val="列出段落11"/>
    <w:basedOn w:val="1"/>
    <w:autoRedefine/>
    <w:qFormat/>
    <w:uiPriority w:val="99"/>
    <w:pPr>
      <w:ind w:firstLine="420" w:firstLineChars="200"/>
    </w:pPr>
    <w:rPr>
      <w:szCs w:val="24"/>
    </w:rPr>
  </w:style>
  <w:style w:type="paragraph" w:customStyle="1" w:styleId="93">
    <w:name w:val="列出段落1"/>
    <w:basedOn w:val="1"/>
    <w:autoRedefine/>
    <w:qFormat/>
    <w:uiPriority w:val="34"/>
    <w:pPr>
      <w:ind w:firstLine="420" w:firstLineChars="200"/>
    </w:pPr>
  </w:style>
  <w:style w:type="paragraph" w:customStyle="1" w:styleId="94">
    <w:name w:val="正文01"/>
    <w:basedOn w:val="1"/>
    <w:autoRedefine/>
    <w:qFormat/>
    <w:uiPriority w:val="0"/>
    <w:pPr>
      <w:spacing w:before="60" w:line="460" w:lineRule="exact"/>
      <w:ind w:firstLine="200" w:firstLineChars="200"/>
    </w:pPr>
    <w:rPr>
      <w:szCs w:val="20"/>
    </w:rPr>
  </w:style>
  <w:style w:type="paragraph" w:customStyle="1" w:styleId="95">
    <w:name w:val="文本"/>
    <w:basedOn w:val="1"/>
    <w:autoRedefine/>
    <w:qFormat/>
    <w:uiPriority w:val="99"/>
    <w:pPr>
      <w:widowControl/>
      <w:adjustRightInd w:val="0"/>
      <w:ind w:left="1260" w:leftChars="600"/>
      <w:textAlignment w:val="baseline"/>
    </w:pPr>
    <w:rPr>
      <w:szCs w:val="24"/>
    </w:rPr>
  </w:style>
  <w:style w:type="paragraph" w:customStyle="1" w:styleId="96">
    <w:name w:val="标题三"/>
    <w:basedOn w:val="5"/>
    <w:autoRedefine/>
    <w:qFormat/>
    <w:uiPriority w:val="99"/>
    <w:pPr>
      <w:numPr>
        <w:ilvl w:val="0"/>
        <w:numId w:val="0"/>
      </w:numPr>
      <w:spacing w:before="260" w:after="260"/>
      <w:jc w:val="left"/>
    </w:pPr>
    <w:rPr>
      <w:szCs w:val="24"/>
    </w:rPr>
  </w:style>
  <w:style w:type="paragraph" w:customStyle="1" w:styleId="97">
    <w:name w:val="Char"/>
    <w:basedOn w:val="1"/>
    <w:autoRedefine/>
    <w:qFormat/>
    <w:uiPriority w:val="0"/>
    <w:rPr>
      <w:rFonts w:ascii="仿宋_GB2312" w:eastAsia="仿宋_GB2312"/>
      <w:b/>
      <w:sz w:val="32"/>
      <w:szCs w:val="32"/>
    </w:rPr>
  </w:style>
  <w:style w:type="paragraph" w:customStyle="1" w:styleId="98">
    <w:name w:val="标题四"/>
    <w:basedOn w:val="6"/>
    <w:autoRedefine/>
    <w:qFormat/>
    <w:uiPriority w:val="99"/>
    <w:pPr>
      <w:spacing w:line="360" w:lineRule="auto"/>
      <w:jc w:val="left"/>
    </w:pPr>
    <w:rPr>
      <w:b/>
    </w:rPr>
  </w:style>
  <w:style w:type="paragraph" w:customStyle="1" w:styleId="99">
    <w:name w:val="Char Char Char Char"/>
    <w:basedOn w:val="1"/>
    <w:autoRedefine/>
    <w:qFormat/>
    <w:uiPriority w:val="0"/>
    <w:pPr>
      <w:keepNext/>
      <w:widowControl/>
      <w:tabs>
        <w:tab w:val="left" w:pos="425"/>
      </w:tabs>
      <w:autoSpaceDE w:val="0"/>
      <w:autoSpaceDN w:val="0"/>
      <w:adjustRightInd w:val="0"/>
      <w:spacing w:line="240" w:lineRule="auto"/>
      <w:ind w:hanging="425"/>
    </w:pPr>
    <w:rPr>
      <w:rFonts w:ascii="Arial" w:hAnsi="Arial" w:cs="Arial"/>
      <w:sz w:val="20"/>
      <w:szCs w:val="20"/>
    </w:rPr>
  </w:style>
  <w:style w:type="character" w:customStyle="1" w:styleId="100">
    <w:name w:val="正文缩进 Char"/>
    <w:link w:val="101"/>
    <w:autoRedefine/>
    <w:qFormat/>
    <w:uiPriority w:val="0"/>
    <w:rPr>
      <w:rFonts w:ascii="仿宋_GB2312" w:hAnsi="Calibri" w:eastAsia="仿宋_GB2312"/>
      <w:sz w:val="30"/>
      <w:szCs w:val="30"/>
    </w:rPr>
  </w:style>
  <w:style w:type="paragraph" w:customStyle="1" w:styleId="101">
    <w:name w:val="Normal Indent1"/>
    <w:basedOn w:val="1"/>
    <w:link w:val="100"/>
    <w:autoRedefine/>
    <w:qFormat/>
    <w:uiPriority w:val="0"/>
    <w:pPr>
      <w:spacing w:line="240" w:lineRule="auto"/>
      <w:ind w:firstLine="510" w:firstLineChars="170"/>
    </w:pPr>
    <w:rPr>
      <w:rFonts w:ascii="仿宋_GB2312" w:hAnsi="Calibri" w:eastAsia="仿宋_GB2312"/>
      <w:sz w:val="30"/>
      <w:szCs w:val="30"/>
    </w:rPr>
  </w:style>
  <w:style w:type="character" w:customStyle="1" w:styleId="102">
    <w:name w:val="apple-converted-space"/>
    <w:basedOn w:val="56"/>
    <w:autoRedefine/>
    <w:qFormat/>
    <w:uiPriority w:val="0"/>
  </w:style>
  <w:style w:type="paragraph" w:customStyle="1" w:styleId="103">
    <w:name w:val="正文1"/>
    <w:basedOn w:val="1"/>
    <w:next w:val="1"/>
    <w:autoRedefine/>
    <w:qFormat/>
    <w:uiPriority w:val="0"/>
    <w:pPr>
      <w:spacing w:line="400" w:lineRule="exact"/>
      <w:ind w:firstLine="425"/>
    </w:pPr>
    <w:rPr>
      <w:szCs w:val="20"/>
    </w:rPr>
  </w:style>
  <w:style w:type="character" w:customStyle="1" w:styleId="104">
    <w:name w:val="gray2"/>
    <w:basedOn w:val="56"/>
    <w:autoRedefine/>
    <w:qFormat/>
    <w:uiPriority w:val="0"/>
  </w:style>
  <w:style w:type="character" w:customStyle="1" w:styleId="105">
    <w:name w:val="条款 Char"/>
    <w:link w:val="106"/>
    <w:autoRedefine/>
    <w:qFormat/>
    <w:uiPriority w:val="0"/>
    <w:rPr>
      <w:rFonts w:ascii="Times New Roman" w:hAnsi="宋体" w:eastAsia="宋体" w:cs="Times New Roman"/>
      <w:sz w:val="24"/>
      <w:szCs w:val="24"/>
    </w:rPr>
  </w:style>
  <w:style w:type="paragraph" w:customStyle="1" w:styleId="106">
    <w:name w:val="条款"/>
    <w:basedOn w:val="1"/>
    <w:link w:val="105"/>
    <w:autoRedefine/>
    <w:qFormat/>
    <w:uiPriority w:val="0"/>
    <w:pPr>
      <w:adjustRightInd w:val="0"/>
      <w:ind w:left="600" w:leftChars="600"/>
      <w:jc w:val="left"/>
      <w:textAlignment w:val="baseline"/>
    </w:pPr>
    <w:rPr>
      <w:rFonts w:hAnsi="宋体"/>
      <w:szCs w:val="24"/>
    </w:rPr>
  </w:style>
  <w:style w:type="paragraph" w:customStyle="1" w:styleId="107">
    <w:name w:val="标题3"/>
    <w:basedOn w:val="5"/>
    <w:next w:val="5"/>
    <w:link w:val="108"/>
    <w:autoRedefine/>
    <w:qFormat/>
    <w:uiPriority w:val="0"/>
    <w:pPr>
      <w:numPr>
        <w:ilvl w:val="0"/>
        <w:numId w:val="0"/>
      </w:numPr>
      <w:spacing w:line="600" w:lineRule="exact"/>
      <w:ind w:firstLine="200" w:firstLineChars="200"/>
    </w:pPr>
    <w:rPr>
      <w:rFonts w:eastAsia="楷体_GB2312"/>
      <w:b w:val="0"/>
      <w:color w:val="000000"/>
      <w:sz w:val="32"/>
      <w:szCs w:val="30"/>
    </w:rPr>
  </w:style>
  <w:style w:type="character" w:customStyle="1" w:styleId="108">
    <w:name w:val="标题3 Char"/>
    <w:link w:val="107"/>
    <w:autoRedefine/>
    <w:qFormat/>
    <w:uiPriority w:val="0"/>
    <w:rPr>
      <w:rFonts w:ascii="Times New Roman" w:hAnsi="Times New Roman" w:eastAsia="楷体_GB2312" w:cs="Times New Roman"/>
      <w:b/>
      <w:bCs/>
      <w:color w:val="000000"/>
      <w:kern w:val="0"/>
      <w:sz w:val="32"/>
      <w:szCs w:val="30"/>
      <w:lang w:val="zh-CN" w:eastAsia="zh-CN"/>
    </w:rPr>
  </w:style>
  <w:style w:type="paragraph" w:customStyle="1" w:styleId="109">
    <w:name w:val="公式"/>
    <w:basedOn w:val="1"/>
    <w:link w:val="110"/>
    <w:autoRedefine/>
    <w:qFormat/>
    <w:uiPriority w:val="0"/>
    <w:pPr>
      <w:jc w:val="center"/>
    </w:pPr>
    <w:rPr>
      <w:rFonts w:ascii="Calibri" w:hAnsi="Calibri" w:eastAsia="仿宋_GB2312"/>
      <w:kern w:val="0"/>
      <w:sz w:val="32"/>
      <w:szCs w:val="20"/>
      <w:lang w:val="zh-CN"/>
    </w:rPr>
  </w:style>
  <w:style w:type="character" w:customStyle="1" w:styleId="110">
    <w:name w:val="公式 Char"/>
    <w:link w:val="109"/>
    <w:autoRedefine/>
    <w:qFormat/>
    <w:uiPriority w:val="0"/>
    <w:rPr>
      <w:rFonts w:ascii="Calibri" w:hAnsi="Calibri" w:eastAsia="仿宋_GB2312" w:cs="Times New Roman"/>
      <w:kern w:val="0"/>
      <w:sz w:val="32"/>
      <w:szCs w:val="20"/>
      <w:lang w:val="zh-CN" w:eastAsia="zh-CN"/>
    </w:rPr>
  </w:style>
  <w:style w:type="paragraph" w:customStyle="1" w:styleId="111">
    <w:name w:val="修订1"/>
    <w:autoRedefine/>
    <w:hidden/>
    <w:qFormat/>
    <w:uiPriority w:val="99"/>
    <w:rPr>
      <w:rFonts w:ascii="Times New Roman" w:hAnsi="Times New Roman" w:eastAsia="宋体" w:cs="Times New Roman"/>
      <w:kern w:val="2"/>
      <w:sz w:val="24"/>
      <w:szCs w:val="22"/>
      <w:lang w:val="en-US" w:eastAsia="zh-CN" w:bidi="ar-SA"/>
    </w:rPr>
  </w:style>
  <w:style w:type="paragraph" w:customStyle="1" w:styleId="112">
    <w:name w:val="TOC 标题1"/>
    <w:basedOn w:val="3"/>
    <w:next w:val="1"/>
    <w:autoRedefine/>
    <w:unhideWhenUsed/>
    <w:qFormat/>
    <w:uiPriority w:val="39"/>
    <w:pPr>
      <w:spacing w:beforeLines="0" w:afterLines="0" w:line="276" w:lineRule="auto"/>
      <w:outlineLvl w:val="9"/>
    </w:pPr>
    <w:rPr>
      <w:rFonts w:ascii="Cambria" w:hAnsi="Cambria" w:eastAsia="宋体"/>
      <w:b w:val="0"/>
      <w:bCs/>
      <w:color w:val="365F91"/>
      <w:kern w:val="0"/>
      <w:sz w:val="28"/>
      <w:szCs w:val="28"/>
    </w:rPr>
  </w:style>
  <w:style w:type="paragraph" w:customStyle="1" w:styleId="113">
    <w:name w:val="内容-文字（四号字）"/>
    <w:basedOn w:val="1"/>
    <w:autoRedefine/>
    <w:qFormat/>
    <w:uiPriority w:val="0"/>
    <w:pPr>
      <w:spacing w:beforeLines="0" w:afterLines="0"/>
      <w:ind w:firstLine="480" w:firstLineChars="200"/>
      <w:jc w:val="left"/>
    </w:pPr>
    <w:rPr>
      <w:rFonts w:eastAsia="仿宋"/>
      <w:sz w:val="28"/>
      <w:szCs w:val="24"/>
    </w:rPr>
  </w:style>
  <w:style w:type="paragraph" w:customStyle="1" w:styleId="114">
    <w:name w:val="图表内容"/>
    <w:basedOn w:val="1"/>
    <w:link w:val="115"/>
    <w:autoRedefine/>
    <w:qFormat/>
    <w:uiPriority w:val="0"/>
    <w:pPr>
      <w:widowControl/>
      <w:spacing w:beforeLines="0" w:afterLines="0" w:line="240" w:lineRule="auto"/>
      <w:jc w:val="center"/>
    </w:pPr>
    <w:rPr>
      <w:rFonts w:hAnsi="宋体"/>
      <w:bCs/>
      <w:color w:val="000000"/>
      <w:kern w:val="0"/>
      <w:szCs w:val="21"/>
      <w:lang w:val="zh-CN"/>
    </w:rPr>
  </w:style>
  <w:style w:type="character" w:customStyle="1" w:styleId="115">
    <w:name w:val="图表内容 Char"/>
    <w:link w:val="114"/>
    <w:autoRedefine/>
    <w:qFormat/>
    <w:uiPriority w:val="0"/>
    <w:rPr>
      <w:rFonts w:ascii="Times New Roman" w:hAnsi="宋体" w:eastAsia="宋体" w:cs="Times New Roman"/>
      <w:bCs/>
      <w:color w:val="000000"/>
      <w:kern w:val="0"/>
      <w:sz w:val="24"/>
      <w:szCs w:val="21"/>
      <w:lang w:val="zh-CN" w:eastAsia="zh-CN"/>
    </w:rPr>
  </w:style>
  <w:style w:type="paragraph" w:customStyle="1" w:styleId="116">
    <w:name w:val="正文3"/>
    <w:basedOn w:val="1"/>
    <w:autoRedefine/>
    <w:qFormat/>
    <w:uiPriority w:val="0"/>
    <w:pPr>
      <w:spacing w:beforeLines="0" w:afterLines="0" w:line="240" w:lineRule="auto"/>
    </w:pPr>
    <w:rPr>
      <w:rFonts w:eastAsia="Times New Roman" w:cs="宋体"/>
      <w:kern w:val="0"/>
      <w:szCs w:val="20"/>
      <w:lang w:eastAsia="en-US"/>
    </w:rPr>
  </w:style>
  <w:style w:type="paragraph" w:customStyle="1" w:styleId="117">
    <w:name w:val="专栏"/>
    <w:basedOn w:val="14"/>
    <w:autoRedefine/>
    <w:qFormat/>
    <w:uiPriority w:val="0"/>
    <w:pPr>
      <w:tabs>
        <w:tab w:val="left" w:pos="0"/>
      </w:tabs>
      <w:spacing w:beforeLines="0" w:afterLines="0" w:line="240" w:lineRule="auto"/>
      <w:ind w:left="864" w:hanging="864"/>
      <w:jc w:val="center"/>
    </w:pPr>
    <w:rPr>
      <w:rFonts w:ascii="黑体" w:hAnsi="黑体" w:cs="黑体"/>
      <w:sz w:val="28"/>
      <w:szCs w:val="21"/>
    </w:rPr>
  </w:style>
  <w:style w:type="paragraph" w:customStyle="1" w:styleId="118">
    <w:name w:val="reader-word-layer"/>
    <w:basedOn w:val="1"/>
    <w:autoRedefine/>
    <w:qFormat/>
    <w:uiPriority w:val="0"/>
    <w:pPr>
      <w:widowControl/>
      <w:spacing w:beforeLines="0" w:beforeAutospacing="1" w:afterLines="0" w:afterAutospacing="1" w:line="240" w:lineRule="auto"/>
      <w:jc w:val="left"/>
    </w:pPr>
    <w:rPr>
      <w:rFonts w:ascii="宋体" w:hAnsi="宋体" w:cs="宋体"/>
      <w:kern w:val="0"/>
      <w:szCs w:val="24"/>
    </w:rPr>
  </w:style>
  <w:style w:type="paragraph" w:customStyle="1" w:styleId="119">
    <w:name w:val="Char1 Char Char Char"/>
    <w:basedOn w:val="1"/>
    <w:autoRedefine/>
    <w:qFormat/>
    <w:uiPriority w:val="0"/>
    <w:pPr>
      <w:widowControl/>
      <w:spacing w:beforeLines="0" w:afterLines="0" w:line="240" w:lineRule="exact"/>
      <w:jc w:val="left"/>
    </w:pPr>
    <w:rPr>
      <w:sz w:val="21"/>
      <w:szCs w:val="20"/>
    </w:rPr>
  </w:style>
  <w:style w:type="paragraph" w:styleId="120">
    <w:name w:val="List Paragraph"/>
    <w:basedOn w:val="1"/>
    <w:link w:val="165"/>
    <w:autoRedefine/>
    <w:qFormat/>
    <w:uiPriority w:val="34"/>
    <w:pPr>
      <w:ind w:firstLine="420" w:firstLineChars="200"/>
    </w:pPr>
  </w:style>
  <w:style w:type="paragraph" w:customStyle="1" w:styleId="121">
    <w:name w:val="TOC 标题2"/>
    <w:basedOn w:val="3"/>
    <w:next w:val="1"/>
    <w:autoRedefine/>
    <w:semiHidden/>
    <w:unhideWhenUsed/>
    <w:qFormat/>
    <w:uiPriority w:val="39"/>
    <w:pPr>
      <w:spacing w:beforeLines="0" w:afterLines="0" w:line="276" w:lineRule="auto"/>
      <w:outlineLvl w:val="9"/>
    </w:pPr>
    <w:rPr>
      <w:rFonts w:ascii="Cambria" w:hAnsi="Cambria" w:eastAsia="宋体"/>
      <w:b w:val="0"/>
      <w:bCs/>
      <w:color w:val="365F91"/>
      <w:kern w:val="0"/>
      <w:sz w:val="28"/>
      <w:szCs w:val="28"/>
    </w:rPr>
  </w:style>
  <w:style w:type="paragraph" w:customStyle="1" w:styleId="122">
    <w:name w:val="普通(网站)1"/>
    <w:basedOn w:val="1"/>
    <w:link w:val="123"/>
    <w:autoRedefine/>
    <w:qFormat/>
    <w:uiPriority w:val="0"/>
    <w:pPr>
      <w:widowControl/>
      <w:spacing w:beforeAutospacing="1" w:afterAutospacing="1"/>
      <w:jc w:val="left"/>
    </w:pPr>
    <w:rPr>
      <w:rFonts w:ascii="宋体" w:hAnsi="宋体"/>
      <w:kern w:val="0"/>
      <w:szCs w:val="24"/>
      <w:lang w:val="zh-CN"/>
    </w:rPr>
  </w:style>
  <w:style w:type="character" w:customStyle="1" w:styleId="123">
    <w:name w:val="普通(网站)1 Char"/>
    <w:link w:val="122"/>
    <w:autoRedefine/>
    <w:qFormat/>
    <w:uiPriority w:val="0"/>
    <w:rPr>
      <w:rFonts w:ascii="宋体" w:hAnsi="宋体" w:eastAsia="宋体" w:cs="Times New Roman"/>
      <w:kern w:val="0"/>
      <w:sz w:val="24"/>
      <w:szCs w:val="24"/>
      <w:lang w:val="zh-CN" w:eastAsia="zh-CN"/>
    </w:rPr>
  </w:style>
  <w:style w:type="paragraph" w:customStyle="1" w:styleId="124">
    <w:name w:val="修订2"/>
    <w:autoRedefine/>
    <w:hidden/>
    <w:semiHidden/>
    <w:qFormat/>
    <w:uiPriority w:val="99"/>
    <w:rPr>
      <w:rFonts w:ascii="Times New Roman" w:hAnsi="Times New Roman" w:eastAsia="宋体" w:cs="Times New Roman"/>
      <w:kern w:val="2"/>
      <w:sz w:val="24"/>
      <w:szCs w:val="22"/>
      <w:lang w:val="en-US" w:eastAsia="zh-CN" w:bidi="ar-SA"/>
    </w:rPr>
  </w:style>
  <w:style w:type="paragraph" w:customStyle="1" w:styleId="125">
    <w:name w:val="List Paragraph1"/>
    <w:basedOn w:val="1"/>
    <w:autoRedefine/>
    <w:qFormat/>
    <w:uiPriority w:val="0"/>
    <w:pPr>
      <w:spacing w:beforeLines="0" w:afterLines="0"/>
      <w:ind w:firstLine="420" w:firstLineChars="200"/>
    </w:pPr>
    <w:rPr>
      <w:rFonts w:ascii="Calibri" w:hAnsi="Calibri"/>
    </w:rPr>
  </w:style>
  <w:style w:type="character" w:styleId="126">
    <w:name w:val="Placeholder Text"/>
    <w:autoRedefine/>
    <w:semiHidden/>
    <w:qFormat/>
    <w:uiPriority w:val="99"/>
    <w:rPr>
      <w:color w:val="808080"/>
    </w:rPr>
  </w:style>
  <w:style w:type="paragraph" w:customStyle="1" w:styleId="127">
    <w:name w:val="表格正文"/>
    <w:basedOn w:val="1"/>
    <w:link w:val="287"/>
    <w:autoRedefine/>
    <w:qFormat/>
    <w:uiPriority w:val="0"/>
    <w:pPr>
      <w:spacing w:beforeLines="0" w:afterLines="0" w:line="360" w:lineRule="exact"/>
      <w:jc w:val="center"/>
    </w:pPr>
    <w:rPr>
      <w:sz w:val="21"/>
      <w:szCs w:val="20"/>
    </w:rPr>
  </w:style>
  <w:style w:type="character" w:customStyle="1" w:styleId="128">
    <w:name w:val="页眉 Char"/>
    <w:autoRedefine/>
    <w:qFormat/>
    <w:uiPriority w:val="99"/>
    <w:rPr>
      <w:sz w:val="18"/>
      <w:szCs w:val="18"/>
    </w:rPr>
  </w:style>
  <w:style w:type="character" w:customStyle="1" w:styleId="129">
    <w:name w:val="页脚 Char"/>
    <w:autoRedefine/>
    <w:qFormat/>
    <w:uiPriority w:val="99"/>
    <w:rPr>
      <w:sz w:val="18"/>
      <w:szCs w:val="18"/>
    </w:rPr>
  </w:style>
  <w:style w:type="paragraph" w:customStyle="1" w:styleId="130">
    <w:name w:val="正文 首缩2"/>
    <w:basedOn w:val="13"/>
    <w:autoRedefine/>
    <w:qFormat/>
    <w:uiPriority w:val="0"/>
    <w:pPr>
      <w:spacing w:line="560" w:lineRule="exact"/>
      <w:ind w:firstLine="560" w:firstLineChars="200"/>
    </w:pPr>
    <w:rPr>
      <w:rFonts w:hint="eastAsia" w:ascii="宋体" w:hAnsi="宋体" w:eastAsia="仿宋_GB2312"/>
      <w:sz w:val="28"/>
      <w:szCs w:val="36"/>
    </w:rPr>
  </w:style>
  <w:style w:type="paragraph" w:customStyle="1" w:styleId="131">
    <w:name w:val="_Style 2"/>
    <w:basedOn w:val="1"/>
    <w:autoRedefine/>
    <w:qFormat/>
    <w:uiPriority w:val="0"/>
    <w:pPr>
      <w:snapToGrid w:val="0"/>
      <w:spacing w:line="400" w:lineRule="exact"/>
      <w:ind w:firstLine="420" w:firstLineChars="200"/>
    </w:pPr>
    <w:rPr>
      <w:szCs w:val="21"/>
    </w:rPr>
  </w:style>
  <w:style w:type="paragraph" w:customStyle="1" w:styleId="132">
    <w:name w:val="Table Paragraph"/>
    <w:basedOn w:val="1"/>
    <w:autoRedefine/>
    <w:qFormat/>
    <w:uiPriority w:val="1"/>
    <w:pPr>
      <w:autoSpaceDE w:val="0"/>
      <w:autoSpaceDN w:val="0"/>
      <w:adjustRightInd w:val="0"/>
      <w:jc w:val="center"/>
    </w:pPr>
    <w:rPr>
      <w:rFonts w:hint="eastAsia" w:ascii="宋体"/>
      <w:kern w:val="0"/>
      <w:szCs w:val="24"/>
    </w:rPr>
  </w:style>
  <w:style w:type="character" w:customStyle="1" w:styleId="133">
    <w:name w:val="未处理的提及1"/>
    <w:autoRedefine/>
    <w:semiHidden/>
    <w:unhideWhenUsed/>
    <w:qFormat/>
    <w:uiPriority w:val="99"/>
    <w:rPr>
      <w:color w:val="605E5C"/>
      <w:shd w:val="clear" w:color="auto" w:fill="E1DFDD"/>
    </w:rPr>
  </w:style>
  <w:style w:type="paragraph" w:customStyle="1" w:styleId="134">
    <w:name w:val="msolistparagraph"/>
    <w:basedOn w:val="1"/>
    <w:autoRedefine/>
    <w:qFormat/>
    <w:uiPriority w:val="0"/>
    <w:pPr>
      <w:ind w:firstLine="420" w:firstLineChars="200"/>
    </w:pPr>
    <w:rPr>
      <w:rFonts w:ascii="Calibri" w:hAnsi="Calibri"/>
      <w:sz w:val="21"/>
    </w:rPr>
  </w:style>
  <w:style w:type="paragraph" w:customStyle="1" w:styleId="135">
    <w:name w:val="标题4"/>
    <w:basedOn w:val="6"/>
    <w:next w:val="1"/>
    <w:link w:val="136"/>
    <w:autoRedefine/>
    <w:qFormat/>
    <w:uiPriority w:val="0"/>
    <w:pPr>
      <w:adjustRightInd w:val="0"/>
      <w:snapToGrid w:val="0"/>
      <w:spacing w:beforeLines="0" w:afterLines="0" w:line="240" w:lineRule="auto"/>
    </w:pPr>
    <w:rPr>
      <w:rFonts w:eastAsia="仿宋"/>
      <w:b/>
      <w:bCs w:val="0"/>
      <w:sz w:val="21"/>
      <w:szCs w:val="21"/>
    </w:rPr>
  </w:style>
  <w:style w:type="character" w:customStyle="1" w:styleId="136">
    <w:name w:val="标题4 Char"/>
    <w:link w:val="135"/>
    <w:autoRedefine/>
    <w:qFormat/>
    <w:uiPriority w:val="0"/>
    <w:rPr>
      <w:rFonts w:eastAsia="仿宋"/>
      <w:b/>
      <w:kern w:val="2"/>
      <w:sz w:val="21"/>
      <w:szCs w:val="21"/>
      <w:lang w:val="zh-CN"/>
    </w:rPr>
  </w:style>
  <w:style w:type="character" w:customStyle="1" w:styleId="137">
    <w:name w:val="未处理的提及2"/>
    <w:autoRedefine/>
    <w:semiHidden/>
    <w:unhideWhenUsed/>
    <w:qFormat/>
    <w:uiPriority w:val="99"/>
    <w:rPr>
      <w:color w:val="605E5C"/>
      <w:shd w:val="clear" w:color="auto" w:fill="E1DFDD"/>
    </w:rPr>
  </w:style>
  <w:style w:type="paragraph" w:customStyle="1" w:styleId="138">
    <w:name w:val="修订3"/>
    <w:autoRedefine/>
    <w:hidden/>
    <w:semiHidden/>
    <w:qFormat/>
    <w:uiPriority w:val="99"/>
    <w:rPr>
      <w:rFonts w:ascii="Times New Roman" w:hAnsi="Times New Roman" w:eastAsia="宋体" w:cs="Times New Roman"/>
      <w:kern w:val="2"/>
      <w:sz w:val="24"/>
      <w:szCs w:val="22"/>
      <w:lang w:val="en-US" w:eastAsia="zh-CN" w:bidi="ar-SA"/>
    </w:rPr>
  </w:style>
  <w:style w:type="character" w:customStyle="1" w:styleId="139">
    <w:name w:val="未处理的提及3"/>
    <w:autoRedefine/>
    <w:semiHidden/>
    <w:unhideWhenUsed/>
    <w:qFormat/>
    <w:uiPriority w:val="99"/>
    <w:rPr>
      <w:color w:val="605E5C"/>
      <w:shd w:val="clear" w:color="auto" w:fill="E1DFDD"/>
    </w:rPr>
  </w:style>
  <w:style w:type="character" w:customStyle="1" w:styleId="140">
    <w:name w:val="未处理的提及4"/>
    <w:autoRedefine/>
    <w:semiHidden/>
    <w:unhideWhenUsed/>
    <w:qFormat/>
    <w:uiPriority w:val="99"/>
    <w:rPr>
      <w:color w:val="605E5C"/>
      <w:shd w:val="clear" w:color="auto" w:fill="E1DFDD"/>
    </w:rPr>
  </w:style>
  <w:style w:type="paragraph" w:customStyle="1" w:styleId="141">
    <w:name w:val="表格内容"/>
    <w:basedOn w:val="1"/>
    <w:link w:val="142"/>
    <w:autoRedefine/>
    <w:qFormat/>
    <w:uiPriority w:val="0"/>
    <w:pPr>
      <w:widowControl/>
      <w:snapToGrid w:val="0"/>
      <w:spacing w:beforeLines="0" w:afterLines="0" w:line="240" w:lineRule="auto"/>
      <w:jc w:val="center"/>
    </w:pPr>
    <w:rPr>
      <w:bCs/>
      <w:color w:val="000000"/>
      <w:kern w:val="0"/>
      <w:sz w:val="21"/>
      <w:szCs w:val="20"/>
      <w:lang w:val="zh-CN"/>
    </w:rPr>
  </w:style>
  <w:style w:type="character" w:customStyle="1" w:styleId="142">
    <w:name w:val="表格内容 Char"/>
    <w:link w:val="141"/>
    <w:autoRedefine/>
    <w:qFormat/>
    <w:uiPriority w:val="0"/>
    <w:rPr>
      <w:rFonts w:ascii="Times New Roman" w:hAnsi="Times New Roman"/>
      <w:bCs/>
      <w:color w:val="000000"/>
      <w:sz w:val="21"/>
      <w:lang w:val="zh-CN" w:eastAsia="zh-CN"/>
    </w:rPr>
  </w:style>
  <w:style w:type="character" w:customStyle="1" w:styleId="143">
    <w:name w:val="标题4 字符"/>
    <w:autoRedefine/>
    <w:qFormat/>
    <w:uiPriority w:val="0"/>
    <w:rPr>
      <w:rFonts w:ascii="Times New Roman" w:hAnsi="Times New Roman" w:eastAsia="仿宋"/>
      <w:b/>
      <w:sz w:val="28"/>
      <w:szCs w:val="24"/>
    </w:rPr>
  </w:style>
  <w:style w:type="paragraph" w:customStyle="1" w:styleId="144">
    <w:name w:val="列出段落2"/>
    <w:basedOn w:val="1"/>
    <w:autoRedefine/>
    <w:qFormat/>
    <w:uiPriority w:val="34"/>
    <w:pPr>
      <w:spacing w:beforeLines="0" w:afterLines="0" w:line="240" w:lineRule="auto"/>
      <w:ind w:firstLine="420" w:firstLineChars="200"/>
    </w:pPr>
    <w:rPr>
      <w:rFonts w:ascii="Calibri" w:hAnsi="Calibri" w:cs="宋体"/>
      <w:sz w:val="21"/>
    </w:rPr>
  </w:style>
  <w:style w:type="paragraph" w:customStyle="1" w:styleId="145">
    <w:name w:val="图表标题"/>
    <w:basedOn w:val="1"/>
    <w:link w:val="146"/>
    <w:autoRedefine/>
    <w:qFormat/>
    <w:uiPriority w:val="0"/>
    <w:pPr>
      <w:spacing w:beforeLines="0" w:afterLines="0"/>
      <w:jc w:val="center"/>
    </w:pPr>
    <w:rPr>
      <w:rFonts w:eastAsia="仿宋"/>
      <w:b/>
      <w:szCs w:val="21"/>
    </w:rPr>
  </w:style>
  <w:style w:type="character" w:customStyle="1" w:styleId="146">
    <w:name w:val="图表标题 Char"/>
    <w:link w:val="145"/>
    <w:autoRedefine/>
    <w:qFormat/>
    <w:uiPriority w:val="0"/>
    <w:rPr>
      <w:rFonts w:ascii="Times New Roman" w:hAnsi="Times New Roman" w:eastAsia="仿宋"/>
      <w:b/>
      <w:kern w:val="2"/>
      <w:sz w:val="24"/>
      <w:szCs w:val="21"/>
    </w:rPr>
  </w:style>
  <w:style w:type="character" w:customStyle="1" w:styleId="147">
    <w:name w:val="纯文本 字符"/>
    <w:link w:val="25"/>
    <w:autoRedefine/>
    <w:qFormat/>
    <w:uiPriority w:val="99"/>
    <w:rPr>
      <w:rFonts w:ascii="宋体" w:hAnsi="Courier New"/>
      <w:kern w:val="2"/>
      <w:sz w:val="21"/>
      <w:szCs w:val="21"/>
      <w:lang w:val="zh-CN" w:eastAsia="zh-CN"/>
    </w:rPr>
  </w:style>
  <w:style w:type="character" w:customStyle="1" w:styleId="148">
    <w:name w:val="日期 字符"/>
    <w:link w:val="28"/>
    <w:autoRedefine/>
    <w:semiHidden/>
    <w:qFormat/>
    <w:uiPriority w:val="99"/>
    <w:rPr>
      <w:rFonts w:ascii="Times New Roman" w:hAnsi="Times New Roman"/>
      <w:kern w:val="2"/>
      <w:sz w:val="24"/>
      <w:szCs w:val="22"/>
    </w:rPr>
  </w:style>
  <w:style w:type="paragraph" w:customStyle="1" w:styleId="149">
    <w:name w:val="标题一"/>
    <w:basedOn w:val="1"/>
    <w:link w:val="151"/>
    <w:autoRedefine/>
    <w:qFormat/>
    <w:uiPriority w:val="0"/>
    <w:pPr>
      <w:spacing w:before="120" w:after="120"/>
      <w:jc w:val="center"/>
      <w:outlineLvl w:val="0"/>
    </w:pPr>
    <w:rPr>
      <w:rFonts w:eastAsia="方正粗黑宋简体"/>
      <w:b/>
      <w:kern w:val="0"/>
      <w:sz w:val="52"/>
      <w:szCs w:val="72"/>
    </w:rPr>
  </w:style>
  <w:style w:type="paragraph" w:customStyle="1" w:styleId="150">
    <w:name w:val="标题二"/>
    <w:basedOn w:val="1"/>
    <w:link w:val="153"/>
    <w:autoRedefine/>
    <w:qFormat/>
    <w:uiPriority w:val="0"/>
    <w:pPr>
      <w:spacing w:beforeLines="0" w:afterLines="0"/>
      <w:outlineLvl w:val="1"/>
    </w:pPr>
    <w:rPr>
      <w:rFonts w:eastAsia="黑体"/>
      <w:bCs/>
      <w:sz w:val="32"/>
      <w:szCs w:val="32"/>
    </w:rPr>
  </w:style>
  <w:style w:type="character" w:customStyle="1" w:styleId="151">
    <w:name w:val="标题一 Char"/>
    <w:link w:val="149"/>
    <w:autoRedefine/>
    <w:qFormat/>
    <w:uiPriority w:val="0"/>
    <w:rPr>
      <w:rFonts w:ascii="Times New Roman" w:hAnsi="Times New Roman" w:eastAsia="方正粗黑宋简体"/>
      <w:b/>
      <w:sz w:val="52"/>
      <w:szCs w:val="72"/>
    </w:rPr>
  </w:style>
  <w:style w:type="paragraph" w:customStyle="1" w:styleId="152">
    <w:name w:val="正文 一"/>
    <w:basedOn w:val="1"/>
    <w:link w:val="155"/>
    <w:autoRedefine/>
    <w:qFormat/>
    <w:uiPriority w:val="0"/>
    <w:pPr>
      <w:spacing w:beforeLines="0" w:afterLines="0"/>
      <w:ind w:firstLine="200" w:firstLineChars="200"/>
    </w:pPr>
    <w:rPr>
      <w:rFonts w:eastAsia="仿宋"/>
      <w:bCs/>
      <w:sz w:val="28"/>
      <w:szCs w:val="30"/>
    </w:rPr>
  </w:style>
  <w:style w:type="character" w:customStyle="1" w:styleId="153">
    <w:name w:val="标题二 Char"/>
    <w:link w:val="150"/>
    <w:autoRedefine/>
    <w:qFormat/>
    <w:uiPriority w:val="0"/>
    <w:rPr>
      <w:rFonts w:ascii="Times New Roman" w:hAnsi="Times New Roman" w:eastAsia="黑体"/>
      <w:bCs/>
      <w:kern w:val="2"/>
      <w:sz w:val="32"/>
      <w:szCs w:val="32"/>
    </w:rPr>
  </w:style>
  <w:style w:type="paragraph" w:customStyle="1" w:styleId="154">
    <w:name w:val="5标题 五"/>
    <w:basedOn w:val="135"/>
    <w:link w:val="157"/>
    <w:autoRedefine/>
    <w:qFormat/>
    <w:uiPriority w:val="0"/>
    <w:pPr>
      <w:keepNext w:val="0"/>
      <w:keepLines w:val="0"/>
      <w:adjustRightInd/>
      <w:snapToGrid/>
      <w:spacing w:before="0" w:after="0" w:line="360" w:lineRule="auto"/>
      <w:outlineLvl w:val="4"/>
    </w:pPr>
    <w:rPr>
      <w:sz w:val="28"/>
    </w:rPr>
  </w:style>
  <w:style w:type="character" w:customStyle="1" w:styleId="155">
    <w:name w:val="正文 一 Char"/>
    <w:link w:val="152"/>
    <w:autoRedefine/>
    <w:qFormat/>
    <w:uiPriority w:val="0"/>
    <w:rPr>
      <w:rFonts w:ascii="Times New Roman" w:hAnsi="Times New Roman" w:eastAsia="仿宋"/>
      <w:bCs/>
      <w:kern w:val="2"/>
      <w:sz w:val="28"/>
      <w:szCs w:val="30"/>
    </w:rPr>
  </w:style>
  <w:style w:type="paragraph" w:customStyle="1" w:styleId="156">
    <w:name w:val="4标题 四"/>
    <w:basedOn w:val="1"/>
    <w:link w:val="159"/>
    <w:autoRedefine/>
    <w:qFormat/>
    <w:uiPriority w:val="0"/>
    <w:pPr>
      <w:spacing w:beforeLines="0" w:afterLines="0"/>
      <w:outlineLvl w:val="3"/>
    </w:pPr>
    <w:rPr>
      <w:rFonts w:eastAsia="仿宋"/>
      <w:b/>
      <w:bCs/>
      <w:sz w:val="30"/>
      <w:szCs w:val="30"/>
    </w:rPr>
  </w:style>
  <w:style w:type="character" w:customStyle="1" w:styleId="157">
    <w:name w:val="5标题 五 Char"/>
    <w:link w:val="154"/>
    <w:autoRedefine/>
    <w:qFormat/>
    <w:uiPriority w:val="0"/>
    <w:rPr>
      <w:rFonts w:ascii="Times New Roman" w:hAnsi="Times New Roman" w:eastAsia="仿宋"/>
      <w:b/>
      <w:sz w:val="28"/>
      <w:szCs w:val="21"/>
      <w:lang w:val="zh-CN"/>
    </w:rPr>
  </w:style>
  <w:style w:type="paragraph" w:customStyle="1" w:styleId="158">
    <w:name w:val="3标题 三"/>
    <w:basedOn w:val="1"/>
    <w:link w:val="161"/>
    <w:autoRedefine/>
    <w:qFormat/>
    <w:uiPriority w:val="0"/>
    <w:pPr>
      <w:spacing w:beforeLines="0" w:afterLines="0"/>
      <w:outlineLvl w:val="2"/>
    </w:pPr>
    <w:rPr>
      <w:rFonts w:eastAsia="黑体"/>
      <w:bCs/>
      <w:sz w:val="30"/>
      <w:szCs w:val="30"/>
    </w:rPr>
  </w:style>
  <w:style w:type="character" w:customStyle="1" w:styleId="159">
    <w:name w:val="4标题 四 Char"/>
    <w:link w:val="156"/>
    <w:autoRedefine/>
    <w:qFormat/>
    <w:uiPriority w:val="0"/>
    <w:rPr>
      <w:rFonts w:ascii="Times New Roman" w:hAnsi="Times New Roman" w:eastAsia="仿宋"/>
      <w:b/>
      <w:bCs/>
      <w:kern w:val="2"/>
      <w:sz w:val="30"/>
      <w:szCs w:val="30"/>
    </w:rPr>
  </w:style>
  <w:style w:type="paragraph" w:customStyle="1" w:styleId="160">
    <w:name w:val="2标题 二"/>
    <w:basedOn w:val="1"/>
    <w:link w:val="163"/>
    <w:autoRedefine/>
    <w:qFormat/>
    <w:uiPriority w:val="0"/>
    <w:pPr>
      <w:spacing w:beforeLines="0" w:afterLines="0"/>
      <w:outlineLvl w:val="1"/>
    </w:pPr>
    <w:rPr>
      <w:rFonts w:eastAsia="黑体"/>
      <w:bCs/>
      <w:sz w:val="32"/>
      <w:szCs w:val="32"/>
    </w:rPr>
  </w:style>
  <w:style w:type="character" w:customStyle="1" w:styleId="161">
    <w:name w:val="3标题 三 Char"/>
    <w:link w:val="158"/>
    <w:autoRedefine/>
    <w:qFormat/>
    <w:uiPriority w:val="0"/>
    <w:rPr>
      <w:rFonts w:ascii="Times New Roman" w:hAnsi="Times New Roman" w:eastAsia="黑体"/>
      <w:bCs/>
      <w:kern w:val="2"/>
      <w:sz w:val="30"/>
      <w:szCs w:val="30"/>
    </w:rPr>
  </w:style>
  <w:style w:type="paragraph" w:customStyle="1" w:styleId="162">
    <w:name w:val="1标题 一"/>
    <w:basedOn w:val="149"/>
    <w:link w:val="164"/>
    <w:autoRedefine/>
    <w:qFormat/>
    <w:uiPriority w:val="0"/>
  </w:style>
  <w:style w:type="character" w:customStyle="1" w:styleId="163">
    <w:name w:val="2标题 二 Char"/>
    <w:link w:val="160"/>
    <w:autoRedefine/>
    <w:qFormat/>
    <w:uiPriority w:val="0"/>
    <w:rPr>
      <w:rFonts w:ascii="Times New Roman" w:hAnsi="Times New Roman" w:eastAsia="黑体"/>
      <w:bCs/>
      <w:kern w:val="2"/>
      <w:sz w:val="32"/>
      <w:szCs w:val="32"/>
    </w:rPr>
  </w:style>
  <w:style w:type="character" w:customStyle="1" w:styleId="164">
    <w:name w:val="1标题 一 Char"/>
    <w:link w:val="162"/>
    <w:autoRedefine/>
    <w:qFormat/>
    <w:uiPriority w:val="0"/>
    <w:rPr>
      <w:rFonts w:ascii="Times New Roman" w:hAnsi="Times New Roman" w:eastAsia="方正粗黑宋简体"/>
      <w:b/>
      <w:sz w:val="52"/>
      <w:szCs w:val="72"/>
    </w:rPr>
  </w:style>
  <w:style w:type="character" w:customStyle="1" w:styleId="165">
    <w:name w:val="列表段落 字符"/>
    <w:link w:val="120"/>
    <w:autoRedefine/>
    <w:qFormat/>
    <w:uiPriority w:val="34"/>
    <w:rPr>
      <w:rFonts w:ascii="Times New Roman" w:hAnsi="Times New Roman"/>
      <w:kern w:val="2"/>
      <w:sz w:val="24"/>
      <w:szCs w:val="22"/>
    </w:rPr>
  </w:style>
  <w:style w:type="paragraph" w:customStyle="1" w:styleId="166">
    <w:name w:val="修订4"/>
    <w:autoRedefine/>
    <w:hidden/>
    <w:semiHidden/>
    <w:qFormat/>
    <w:uiPriority w:val="99"/>
    <w:rPr>
      <w:rFonts w:ascii="Times New Roman" w:hAnsi="Times New Roman" w:eastAsia="宋体" w:cs="Times New Roman"/>
      <w:kern w:val="2"/>
      <w:sz w:val="24"/>
      <w:szCs w:val="22"/>
      <w:lang w:val="en-US" w:eastAsia="zh-CN" w:bidi="ar-SA"/>
    </w:rPr>
  </w:style>
  <w:style w:type="paragraph" w:customStyle="1" w:styleId="167">
    <w:name w:val="签发人"/>
    <w:basedOn w:val="1"/>
    <w:autoRedefine/>
    <w:qFormat/>
    <w:uiPriority w:val="99"/>
    <w:rPr>
      <w:rFonts w:eastAsia="楷体"/>
      <w:sz w:val="32"/>
      <w:szCs w:val="32"/>
    </w:rPr>
  </w:style>
  <w:style w:type="paragraph" w:customStyle="1" w:styleId="168">
    <w:name w:val="Body text|1"/>
    <w:basedOn w:val="1"/>
    <w:autoRedefine/>
    <w:qFormat/>
    <w:uiPriority w:val="0"/>
    <w:pPr>
      <w:spacing w:line="410" w:lineRule="auto"/>
      <w:ind w:firstLine="400"/>
    </w:pPr>
    <w:rPr>
      <w:rFonts w:ascii="宋体" w:hAnsi="宋体" w:cs="宋体"/>
      <w:lang w:val="zh-TW" w:eastAsia="zh-TW" w:bidi="zh-TW"/>
    </w:rPr>
  </w:style>
  <w:style w:type="paragraph" w:customStyle="1" w:styleId="169">
    <w:name w:val="p0"/>
    <w:basedOn w:val="1"/>
    <w:autoRedefine/>
    <w:qFormat/>
    <w:uiPriority w:val="99"/>
    <w:pPr>
      <w:widowControl/>
      <w:spacing w:before="100" w:beforeAutospacing="1" w:after="100" w:afterAutospacing="1"/>
      <w:jc w:val="left"/>
    </w:pPr>
    <w:rPr>
      <w:rFonts w:ascii="宋体" w:hAnsi="宋体" w:cs="宋体"/>
      <w:kern w:val="0"/>
      <w:szCs w:val="24"/>
    </w:rPr>
  </w:style>
  <w:style w:type="character" w:customStyle="1" w:styleId="170">
    <w:name w:val="font31"/>
    <w:autoRedefine/>
    <w:qFormat/>
    <w:uiPriority w:val="0"/>
    <w:rPr>
      <w:rFonts w:hint="eastAsia" w:ascii="宋体" w:hAnsi="宋体" w:eastAsia="宋体" w:cs="宋体"/>
      <w:color w:val="000000"/>
      <w:sz w:val="20"/>
      <w:szCs w:val="20"/>
      <w:u w:val="none"/>
    </w:rPr>
  </w:style>
  <w:style w:type="paragraph" w:customStyle="1" w:styleId="171">
    <w:name w:val="列表段落1"/>
    <w:basedOn w:val="1"/>
    <w:autoRedefine/>
    <w:qFormat/>
    <w:uiPriority w:val="34"/>
    <w:pPr>
      <w:spacing w:beforeLines="0" w:afterLines="0" w:line="240" w:lineRule="auto"/>
      <w:ind w:firstLine="420" w:firstLineChars="200"/>
    </w:pPr>
    <w:rPr>
      <w:rFonts w:ascii="Calibri" w:hAnsi="Calibri" w:cs="宋体"/>
      <w:sz w:val="21"/>
    </w:rPr>
  </w:style>
  <w:style w:type="character" w:customStyle="1" w:styleId="172">
    <w:name w:val="HTML 预设格式 字符"/>
    <w:link w:val="40"/>
    <w:autoRedefine/>
    <w:qFormat/>
    <w:uiPriority w:val="0"/>
    <w:rPr>
      <w:rFonts w:ascii="Courier New" w:hAnsi="Courier New" w:eastAsia="仿宋_GB2312" w:cs="Courier New"/>
      <w:kern w:val="2"/>
    </w:rPr>
  </w:style>
  <w:style w:type="paragraph" w:customStyle="1" w:styleId="173">
    <w:name w:val="MTDisplayEquation"/>
    <w:basedOn w:val="1"/>
    <w:next w:val="1"/>
    <w:link w:val="174"/>
    <w:autoRedefine/>
    <w:qFormat/>
    <w:uiPriority w:val="0"/>
    <w:pPr>
      <w:tabs>
        <w:tab w:val="center" w:pos="4440"/>
        <w:tab w:val="right" w:pos="8300"/>
      </w:tabs>
      <w:spacing w:beforeLines="0" w:afterLines="0"/>
      <w:ind w:left="560"/>
    </w:pPr>
    <w:rPr>
      <w:rFonts w:eastAsia="仿宋"/>
      <w:bCs/>
      <w:sz w:val="28"/>
      <w:szCs w:val="28"/>
      <w:lang w:val="zh-CN"/>
    </w:rPr>
  </w:style>
  <w:style w:type="character" w:customStyle="1" w:styleId="174">
    <w:name w:val="MTDisplayEquation 字符"/>
    <w:link w:val="173"/>
    <w:autoRedefine/>
    <w:qFormat/>
    <w:uiPriority w:val="0"/>
    <w:rPr>
      <w:rFonts w:ascii="Times New Roman" w:hAnsi="Times New Roman" w:eastAsia="仿宋"/>
      <w:bCs/>
      <w:kern w:val="2"/>
      <w:sz w:val="28"/>
      <w:szCs w:val="28"/>
      <w:lang w:val="zh-CN"/>
    </w:rPr>
  </w:style>
  <w:style w:type="character" w:customStyle="1" w:styleId="175">
    <w:name w:val="脚注文本 字符"/>
    <w:link w:val="35"/>
    <w:autoRedefine/>
    <w:qFormat/>
    <w:uiPriority w:val="99"/>
    <w:rPr>
      <w:sz w:val="18"/>
      <w:szCs w:val="18"/>
    </w:rPr>
  </w:style>
  <w:style w:type="character" w:customStyle="1" w:styleId="176">
    <w:name w:val="脚注文本 Char"/>
    <w:autoRedefine/>
    <w:semiHidden/>
    <w:qFormat/>
    <w:uiPriority w:val="99"/>
    <w:rPr>
      <w:rFonts w:ascii="Times New Roman" w:hAnsi="Times New Roman"/>
      <w:kern w:val="2"/>
      <w:sz w:val="18"/>
      <w:szCs w:val="18"/>
    </w:rPr>
  </w:style>
  <w:style w:type="character" w:customStyle="1" w:styleId="177">
    <w:name w:val="脚注文本 Char1"/>
    <w:autoRedefine/>
    <w:semiHidden/>
    <w:qFormat/>
    <w:uiPriority w:val="99"/>
    <w:rPr>
      <w:sz w:val="18"/>
      <w:szCs w:val="18"/>
    </w:rPr>
  </w:style>
  <w:style w:type="paragraph" w:customStyle="1" w:styleId="178">
    <w:name w:val="表格和图表标题"/>
    <w:basedOn w:val="1"/>
    <w:link w:val="179"/>
    <w:autoRedefine/>
    <w:qFormat/>
    <w:uiPriority w:val="0"/>
    <w:pPr>
      <w:spacing w:beforeLines="0" w:afterLines="0"/>
      <w:jc w:val="center"/>
    </w:pPr>
    <w:rPr>
      <w:b/>
      <w:kern w:val="0"/>
      <w:lang w:val="zh-CN"/>
    </w:rPr>
  </w:style>
  <w:style w:type="character" w:customStyle="1" w:styleId="179">
    <w:name w:val="表格和图表标题 Char"/>
    <w:link w:val="178"/>
    <w:autoRedefine/>
    <w:qFormat/>
    <w:uiPriority w:val="0"/>
    <w:rPr>
      <w:rFonts w:ascii="Times New Roman" w:hAnsi="Times New Roman"/>
      <w:b/>
      <w:sz w:val="24"/>
      <w:szCs w:val="22"/>
      <w:lang w:val="zh-CN" w:eastAsia="zh-CN"/>
    </w:rPr>
  </w:style>
  <w:style w:type="character" w:customStyle="1" w:styleId="180">
    <w:name w:val="text_img"/>
    <w:autoRedefine/>
    <w:qFormat/>
    <w:uiPriority w:val="0"/>
  </w:style>
  <w:style w:type="character" w:customStyle="1" w:styleId="181">
    <w:name w:val="fontstyle01"/>
    <w:autoRedefine/>
    <w:qFormat/>
    <w:uiPriority w:val="0"/>
    <w:rPr>
      <w:rFonts w:hint="default" w:ascii="楷体" w:hAnsi="楷体"/>
      <w:color w:val="231F20"/>
      <w:sz w:val="22"/>
      <w:szCs w:val="22"/>
    </w:rPr>
  </w:style>
  <w:style w:type="paragraph" w:customStyle="1" w:styleId="182">
    <w:name w:val="内表格内容"/>
    <w:basedOn w:val="1"/>
    <w:autoRedefine/>
    <w:qFormat/>
    <w:uiPriority w:val="99"/>
    <w:pPr>
      <w:spacing w:beforeLines="0" w:afterLines="0" w:line="240" w:lineRule="auto"/>
      <w:jc w:val="center"/>
    </w:pPr>
    <w:rPr>
      <w:rFonts w:ascii="Calibri" w:hAnsi="Calibri" w:eastAsia="华文楷体" w:cs="Arial"/>
      <w:sz w:val="21"/>
    </w:rPr>
  </w:style>
  <w:style w:type="character" w:customStyle="1" w:styleId="183">
    <w:name w:val="fontstyle11"/>
    <w:autoRedefine/>
    <w:qFormat/>
    <w:uiPriority w:val="0"/>
    <w:rPr>
      <w:rFonts w:hint="eastAsia" w:ascii="宋体" w:hAnsi="宋体" w:eastAsia="宋体"/>
      <w:color w:val="000000"/>
      <w:sz w:val="14"/>
      <w:szCs w:val="14"/>
    </w:rPr>
  </w:style>
  <w:style w:type="character" w:customStyle="1" w:styleId="184">
    <w:name w:val="fontstyle21"/>
    <w:autoRedefine/>
    <w:qFormat/>
    <w:uiPriority w:val="0"/>
    <w:rPr>
      <w:rFonts w:hint="default" w:ascii="TimesNewRomanPSMT" w:hAnsi="TimesNewRomanPSMT"/>
      <w:color w:val="000000"/>
      <w:sz w:val="26"/>
      <w:szCs w:val="26"/>
    </w:rPr>
  </w:style>
  <w:style w:type="paragraph" w:customStyle="1" w:styleId="185">
    <w:name w:val="注释"/>
    <w:basedOn w:val="1"/>
    <w:link w:val="186"/>
    <w:autoRedefine/>
    <w:qFormat/>
    <w:uiPriority w:val="0"/>
    <w:pPr>
      <w:spacing w:beforeLines="0" w:afterLines="0" w:line="240" w:lineRule="auto"/>
      <w:ind w:firstLine="360" w:firstLineChars="200"/>
    </w:pPr>
    <w:rPr>
      <w:color w:val="000000"/>
      <w:kern w:val="0"/>
      <w:sz w:val="18"/>
      <w:szCs w:val="18"/>
      <w:lang w:val="zh-CN"/>
    </w:rPr>
  </w:style>
  <w:style w:type="character" w:customStyle="1" w:styleId="186">
    <w:name w:val="注释 Char"/>
    <w:link w:val="185"/>
    <w:autoRedefine/>
    <w:qFormat/>
    <w:uiPriority w:val="0"/>
    <w:rPr>
      <w:rFonts w:ascii="Times New Roman" w:hAnsi="Times New Roman"/>
      <w:color w:val="000000"/>
      <w:sz w:val="18"/>
      <w:szCs w:val="18"/>
      <w:lang w:val="zh-CN" w:eastAsia="zh-CN"/>
    </w:rPr>
  </w:style>
  <w:style w:type="paragraph" w:customStyle="1" w:styleId="187">
    <w:name w:val="报告正文"/>
    <w:basedOn w:val="1"/>
    <w:link w:val="188"/>
    <w:autoRedefine/>
    <w:qFormat/>
    <w:uiPriority w:val="0"/>
    <w:pPr>
      <w:spacing w:afterLines="0"/>
      <w:ind w:firstLine="482"/>
    </w:pPr>
    <w:rPr>
      <w:kern w:val="0"/>
      <w:szCs w:val="20"/>
      <w:lang w:val="zh-CN"/>
    </w:rPr>
  </w:style>
  <w:style w:type="character" w:customStyle="1" w:styleId="188">
    <w:name w:val="报告正文 Char"/>
    <w:link w:val="187"/>
    <w:autoRedefine/>
    <w:qFormat/>
    <w:uiPriority w:val="0"/>
    <w:rPr>
      <w:rFonts w:ascii="Times New Roman" w:hAnsi="Times New Roman"/>
      <w:sz w:val="24"/>
      <w:lang w:val="zh-CN" w:eastAsia="zh-CN"/>
    </w:rPr>
  </w:style>
  <w:style w:type="character" w:customStyle="1" w:styleId="189">
    <w:name w:val="不明显强调1"/>
    <w:autoRedefine/>
    <w:qFormat/>
    <w:uiPriority w:val="19"/>
    <w:rPr>
      <w:i/>
      <w:iCs/>
      <w:color w:val="808080"/>
    </w:rPr>
  </w:style>
  <w:style w:type="paragraph" w:customStyle="1" w:styleId="190">
    <w:name w:val="表格文字"/>
    <w:basedOn w:val="1"/>
    <w:link w:val="191"/>
    <w:autoRedefine/>
    <w:qFormat/>
    <w:uiPriority w:val="0"/>
    <w:pPr>
      <w:widowControl/>
      <w:adjustRightInd w:val="0"/>
      <w:snapToGrid w:val="0"/>
      <w:spacing w:beforeLines="0" w:afterLines="0" w:line="240" w:lineRule="auto"/>
      <w:jc w:val="center"/>
    </w:pPr>
    <w:rPr>
      <w:rFonts w:ascii="宋体" w:hAnsi="宋体"/>
      <w:kern w:val="0"/>
      <w:szCs w:val="20"/>
      <w:lang w:val="zh-CN"/>
    </w:rPr>
  </w:style>
  <w:style w:type="character" w:customStyle="1" w:styleId="191">
    <w:name w:val="表格文字 Char"/>
    <w:link w:val="190"/>
    <w:autoRedefine/>
    <w:qFormat/>
    <w:uiPriority w:val="0"/>
    <w:rPr>
      <w:rFonts w:ascii="宋体" w:hAnsi="宋体"/>
      <w:sz w:val="24"/>
      <w:lang w:val="zh-CN" w:eastAsia="zh-CN"/>
    </w:rPr>
  </w:style>
  <w:style w:type="paragraph" w:customStyle="1" w:styleId="192">
    <w:name w:val="表格表头"/>
    <w:basedOn w:val="1"/>
    <w:autoRedefine/>
    <w:qFormat/>
    <w:uiPriority w:val="99"/>
    <w:pPr>
      <w:widowControl/>
      <w:spacing w:beforeLines="0" w:afterLines="0" w:line="240" w:lineRule="auto"/>
      <w:jc w:val="center"/>
    </w:pPr>
    <w:rPr>
      <w:rFonts w:ascii="黑体" w:hAnsi="黑体" w:eastAsia="黑体"/>
    </w:rPr>
  </w:style>
  <w:style w:type="paragraph" w:customStyle="1" w:styleId="193">
    <w:name w:val="TOC 标题3"/>
    <w:basedOn w:val="3"/>
    <w:next w:val="1"/>
    <w:autoRedefine/>
    <w:unhideWhenUsed/>
    <w:qFormat/>
    <w:uiPriority w:val="39"/>
    <w:pPr>
      <w:keepNext/>
      <w:keepLines/>
      <w:widowControl/>
      <w:numPr>
        <w:numId w:val="0"/>
      </w:numPr>
      <w:snapToGrid/>
      <w:spacing w:beforeLines="0" w:afterLines="0" w:line="259" w:lineRule="auto"/>
      <w:jc w:val="center"/>
      <w:outlineLvl w:val="9"/>
    </w:pPr>
    <w:rPr>
      <w:rFonts w:ascii="Cambria" w:hAnsi="Cambria" w:eastAsia="宋体"/>
      <w:b w:val="0"/>
      <w:color w:val="365F91"/>
      <w:kern w:val="0"/>
      <w:szCs w:val="32"/>
      <w:lang w:val="zh-CN"/>
    </w:rPr>
  </w:style>
  <w:style w:type="character" w:customStyle="1" w:styleId="194">
    <w:name w:val="正文首行缩进 Char1"/>
    <w:autoRedefine/>
    <w:semiHidden/>
    <w:qFormat/>
    <w:uiPriority w:val="99"/>
    <w:rPr>
      <w:rFonts w:ascii="Times New Roman" w:hAnsi="Times New Roman"/>
      <w:sz w:val="24"/>
      <w:szCs w:val="21"/>
    </w:rPr>
  </w:style>
  <w:style w:type="paragraph" w:customStyle="1" w:styleId="195">
    <w:name w:val="表格内容格式"/>
    <w:basedOn w:val="1"/>
    <w:link w:val="196"/>
    <w:autoRedefine/>
    <w:qFormat/>
    <w:uiPriority w:val="0"/>
    <w:pPr>
      <w:spacing w:beforeLines="0" w:afterLines="0" w:line="240" w:lineRule="auto"/>
      <w:jc w:val="center"/>
    </w:pPr>
    <w:rPr>
      <w:kern w:val="0"/>
      <w:sz w:val="20"/>
      <w:szCs w:val="20"/>
      <w:lang w:val="zh-CN"/>
    </w:rPr>
  </w:style>
  <w:style w:type="character" w:customStyle="1" w:styleId="196">
    <w:name w:val="表格内容格式 字符"/>
    <w:link w:val="195"/>
    <w:autoRedefine/>
    <w:qFormat/>
    <w:uiPriority w:val="0"/>
    <w:rPr>
      <w:rFonts w:ascii="Times New Roman" w:hAnsi="Times New Roman"/>
      <w:lang w:val="zh-CN" w:eastAsia="zh-CN"/>
    </w:rPr>
  </w:style>
  <w:style w:type="character" w:customStyle="1" w:styleId="197">
    <w:name w:val="题注 Char1"/>
    <w:autoRedefine/>
    <w:qFormat/>
    <w:uiPriority w:val="0"/>
    <w:rPr>
      <w:rFonts w:ascii="Cambria" w:hAnsi="Cambria" w:eastAsia="黑体" w:cs="Times New Roman"/>
      <w:sz w:val="20"/>
      <w:szCs w:val="20"/>
    </w:rPr>
  </w:style>
  <w:style w:type="character" w:customStyle="1" w:styleId="198">
    <w:name w:val="标题 1 字符1"/>
    <w:autoRedefine/>
    <w:qFormat/>
    <w:uiPriority w:val="0"/>
    <w:rPr>
      <w:rFonts w:ascii="Times New Roman" w:hAnsi="Times New Roman" w:eastAsia="宋体"/>
      <w:b/>
      <w:bCs/>
      <w:kern w:val="44"/>
      <w:sz w:val="44"/>
      <w:szCs w:val="44"/>
    </w:rPr>
  </w:style>
  <w:style w:type="character" w:customStyle="1" w:styleId="199">
    <w:name w:val="标题 2 字符1"/>
    <w:autoRedefine/>
    <w:semiHidden/>
    <w:qFormat/>
    <w:uiPriority w:val="0"/>
    <w:rPr>
      <w:rFonts w:ascii="Cambria" w:hAnsi="Cambria" w:eastAsia="宋体" w:cs="Times New Roman"/>
      <w:b/>
      <w:bCs/>
      <w:kern w:val="2"/>
      <w:sz w:val="32"/>
      <w:szCs w:val="32"/>
    </w:rPr>
  </w:style>
  <w:style w:type="character" w:customStyle="1" w:styleId="200">
    <w:name w:val="标题 3 字符1"/>
    <w:autoRedefine/>
    <w:semiHidden/>
    <w:qFormat/>
    <w:uiPriority w:val="0"/>
    <w:rPr>
      <w:rFonts w:ascii="Times New Roman" w:hAnsi="Times New Roman" w:eastAsia="宋体"/>
      <w:b/>
      <w:bCs/>
      <w:kern w:val="2"/>
      <w:sz w:val="32"/>
      <w:szCs w:val="32"/>
    </w:rPr>
  </w:style>
  <w:style w:type="character" w:customStyle="1" w:styleId="201">
    <w:name w:val="标题 4 字符1"/>
    <w:autoRedefine/>
    <w:qFormat/>
    <w:uiPriority w:val="9"/>
    <w:rPr>
      <w:rFonts w:ascii="Cambria" w:hAnsi="Cambria" w:eastAsia="宋体" w:cs="Times New Roman"/>
      <w:b/>
      <w:bCs/>
      <w:kern w:val="2"/>
      <w:sz w:val="28"/>
      <w:szCs w:val="28"/>
    </w:rPr>
  </w:style>
  <w:style w:type="character" w:customStyle="1" w:styleId="202">
    <w:name w:val="标题 6 字符1"/>
    <w:autoRedefine/>
    <w:qFormat/>
    <w:uiPriority w:val="9"/>
    <w:rPr>
      <w:rFonts w:ascii="Cambria" w:hAnsi="Cambria" w:eastAsia="宋体" w:cs="Times New Roman"/>
      <w:b/>
      <w:bCs/>
      <w:kern w:val="2"/>
      <w:sz w:val="24"/>
      <w:szCs w:val="24"/>
    </w:rPr>
  </w:style>
  <w:style w:type="paragraph" w:customStyle="1" w:styleId="203">
    <w:name w:val="msonormal"/>
    <w:basedOn w:val="1"/>
    <w:autoRedefine/>
    <w:qFormat/>
    <w:uiPriority w:val="99"/>
    <w:pPr>
      <w:widowControl/>
      <w:spacing w:beforeLines="0" w:beforeAutospacing="1" w:afterLines="0" w:afterAutospacing="1" w:line="240" w:lineRule="auto"/>
      <w:jc w:val="left"/>
    </w:pPr>
    <w:rPr>
      <w:rFonts w:ascii="宋体" w:hAnsi="宋体" w:cs="宋体"/>
      <w:kern w:val="0"/>
      <w:szCs w:val="24"/>
    </w:rPr>
  </w:style>
  <w:style w:type="character" w:customStyle="1" w:styleId="204">
    <w:name w:val="标题 7 字符1"/>
    <w:autoRedefine/>
    <w:qFormat/>
    <w:uiPriority w:val="9"/>
    <w:rPr>
      <w:rFonts w:ascii="Times New Roman" w:hAnsi="Times New Roman" w:eastAsia="宋体"/>
      <w:b/>
      <w:bCs/>
      <w:kern w:val="2"/>
      <w:sz w:val="24"/>
      <w:szCs w:val="24"/>
    </w:rPr>
  </w:style>
  <w:style w:type="character" w:customStyle="1" w:styleId="205">
    <w:name w:val="标题 8 字符1"/>
    <w:autoRedefine/>
    <w:qFormat/>
    <w:uiPriority w:val="9"/>
    <w:rPr>
      <w:rFonts w:ascii="Cambria" w:hAnsi="Cambria" w:eastAsia="宋体" w:cs="Times New Roman"/>
      <w:kern w:val="2"/>
      <w:sz w:val="24"/>
      <w:szCs w:val="24"/>
    </w:rPr>
  </w:style>
  <w:style w:type="character" w:customStyle="1" w:styleId="206">
    <w:name w:val="标题 9 字符1"/>
    <w:autoRedefine/>
    <w:qFormat/>
    <w:uiPriority w:val="9"/>
    <w:rPr>
      <w:rFonts w:ascii="Cambria" w:hAnsi="Cambria" w:eastAsia="宋体" w:cs="Times New Roman"/>
      <w:kern w:val="2"/>
      <w:sz w:val="21"/>
    </w:rPr>
  </w:style>
  <w:style w:type="character" w:customStyle="1" w:styleId="207">
    <w:name w:val="脚注文本 字符1"/>
    <w:autoRedefine/>
    <w:semiHidden/>
    <w:qFormat/>
    <w:uiPriority w:val="99"/>
    <w:rPr>
      <w:rFonts w:hint="default" w:ascii="Times New Roman" w:hAnsi="Times New Roman" w:cs="Times New Roman"/>
      <w:sz w:val="18"/>
      <w:szCs w:val="18"/>
    </w:rPr>
  </w:style>
  <w:style w:type="character" w:customStyle="1" w:styleId="208">
    <w:name w:val="正文首行缩进 字符1"/>
    <w:autoRedefine/>
    <w:semiHidden/>
    <w:qFormat/>
    <w:uiPriority w:val="99"/>
    <w:rPr>
      <w:rFonts w:hint="default" w:ascii="Times New Roman" w:hAnsi="Times New Roman" w:cs="Times New Roman"/>
      <w:sz w:val="24"/>
    </w:rPr>
  </w:style>
  <w:style w:type="table" w:customStyle="1" w:styleId="209">
    <w:name w:val="简明型 11"/>
    <w:basedOn w:val="46"/>
    <w:autoRedefine/>
    <w:qFormat/>
    <w:uiPriority w:val="0"/>
    <w:pPr>
      <w:widowControl w:val="0"/>
      <w:jc w:val="both"/>
    </w:pPr>
    <w:tblPr>
      <w:tblBorders>
        <w:top w:val="single" w:color="000000" w:sz="12" w:space="0"/>
        <w:bottom w:val="single" w:color="000000" w:sz="12" w:space="0"/>
      </w:tblBorders>
    </w:tblPr>
    <w:tblStylePr w:type="firstRow">
      <w:tcPr>
        <w:tcBorders>
          <w:bottom w:val="single" w:color="000000" w:sz="4" w:space="0"/>
        </w:tcBorders>
      </w:tcPr>
    </w:tblStylePr>
    <w:tblStylePr w:type="lastRow">
      <w:tcPr>
        <w:tcBorders>
          <w:top w:val="single" w:color="008000" w:sz="6" w:space="0"/>
          <w:tl2br w:val="nil"/>
          <w:tr2bl w:val="nil"/>
        </w:tcBorders>
      </w:tcPr>
    </w:tblStylePr>
  </w:style>
  <w:style w:type="paragraph" w:customStyle="1" w:styleId="210">
    <w:name w:val="我的正文"/>
    <w:basedOn w:val="1"/>
    <w:link w:val="211"/>
    <w:autoRedefine/>
    <w:qFormat/>
    <w:uiPriority w:val="0"/>
    <w:pPr>
      <w:adjustRightInd w:val="0"/>
      <w:snapToGrid w:val="0"/>
      <w:spacing w:beforeLines="0" w:afterLines="0"/>
      <w:ind w:firstLine="200" w:firstLineChars="200"/>
    </w:pPr>
    <w:rPr>
      <w:kern w:val="10"/>
      <w:szCs w:val="24"/>
      <w:lang w:val="zh-CN"/>
    </w:rPr>
  </w:style>
  <w:style w:type="character" w:customStyle="1" w:styleId="211">
    <w:name w:val="我的正文 Char"/>
    <w:link w:val="210"/>
    <w:autoRedefine/>
    <w:qFormat/>
    <w:uiPriority w:val="0"/>
    <w:rPr>
      <w:rFonts w:ascii="Times New Roman" w:hAnsi="Times New Roman"/>
      <w:kern w:val="10"/>
      <w:sz w:val="24"/>
      <w:szCs w:val="24"/>
      <w:lang w:val="zh-CN" w:eastAsia="zh-CN"/>
    </w:rPr>
  </w:style>
  <w:style w:type="character" w:customStyle="1" w:styleId="212">
    <w:name w:val="图片样式 字符"/>
    <w:link w:val="213"/>
    <w:autoRedefine/>
    <w:qFormat/>
    <w:locked/>
    <w:uiPriority w:val="0"/>
    <w:rPr>
      <w:sz w:val="24"/>
      <w:szCs w:val="22"/>
    </w:rPr>
  </w:style>
  <w:style w:type="paragraph" w:customStyle="1" w:styleId="213">
    <w:name w:val="图片样式"/>
    <w:basedOn w:val="1"/>
    <w:link w:val="212"/>
    <w:autoRedefine/>
    <w:qFormat/>
    <w:uiPriority w:val="0"/>
    <w:pPr>
      <w:keepNext/>
      <w:framePr w:wrap="notBeside" w:vAnchor="text" w:hAnchor="text" w:xAlign="center" w:y="1"/>
      <w:widowControl/>
      <w:spacing w:beforeLines="0" w:afterLines="0" w:line="288" w:lineRule="auto"/>
      <w:jc w:val="center"/>
    </w:pPr>
    <w:rPr>
      <w:rFonts w:ascii="Calibri" w:hAnsi="Calibri"/>
      <w:kern w:val="0"/>
    </w:rPr>
  </w:style>
  <w:style w:type="character" w:customStyle="1" w:styleId="214">
    <w:name w:val="fontstyle31"/>
    <w:autoRedefine/>
    <w:qFormat/>
    <w:uiPriority w:val="0"/>
    <w:rPr>
      <w:rFonts w:hint="eastAsia" w:ascii="黑体" w:hAnsi="黑体" w:eastAsia="黑体"/>
      <w:color w:val="000000"/>
      <w:sz w:val="22"/>
      <w:szCs w:val="22"/>
    </w:rPr>
  </w:style>
  <w:style w:type="table" w:customStyle="1" w:styleId="215">
    <w:name w:val="网格型1"/>
    <w:basedOn w:val="46"/>
    <w:autoRedefine/>
    <w:qFormat/>
    <w:uiPriority w:val="0"/>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6">
    <w:name w:val="第一章"/>
    <w:basedOn w:val="3"/>
    <w:link w:val="218"/>
    <w:autoRedefine/>
    <w:qFormat/>
    <w:uiPriority w:val="0"/>
    <w:pPr>
      <w:keepNext/>
      <w:keepLines/>
      <w:numPr>
        <w:numId w:val="0"/>
      </w:numPr>
      <w:snapToGrid/>
      <w:spacing w:beforeLines="0" w:afterLines="0" w:line="480" w:lineRule="auto"/>
      <w:jc w:val="center"/>
    </w:pPr>
    <w:rPr>
      <w:rFonts w:eastAsia="黑体"/>
      <w:bCs/>
      <w:lang w:val="zh-CN"/>
    </w:rPr>
  </w:style>
  <w:style w:type="character" w:customStyle="1" w:styleId="217">
    <w:name w:val="未处理的提及5"/>
    <w:autoRedefine/>
    <w:semiHidden/>
    <w:unhideWhenUsed/>
    <w:qFormat/>
    <w:uiPriority w:val="99"/>
    <w:rPr>
      <w:color w:val="605E5C"/>
      <w:shd w:val="clear" w:color="auto" w:fill="E1DFDD"/>
    </w:rPr>
  </w:style>
  <w:style w:type="character" w:customStyle="1" w:styleId="218">
    <w:name w:val="第一章 字符"/>
    <w:link w:val="216"/>
    <w:autoRedefine/>
    <w:qFormat/>
    <w:uiPriority w:val="0"/>
    <w:rPr>
      <w:rFonts w:ascii="Times New Roman" w:hAnsi="Times New Roman" w:eastAsia="黑体"/>
      <w:b/>
      <w:bCs/>
      <w:kern w:val="44"/>
      <w:sz w:val="32"/>
      <w:szCs w:val="44"/>
      <w:lang w:val="zh-CN" w:eastAsia="zh-CN"/>
    </w:rPr>
  </w:style>
  <w:style w:type="paragraph" w:customStyle="1" w:styleId="219">
    <w:name w:val="备注"/>
    <w:basedOn w:val="1"/>
    <w:link w:val="220"/>
    <w:autoRedefine/>
    <w:qFormat/>
    <w:uiPriority w:val="0"/>
    <w:pPr>
      <w:spacing w:beforeLines="0" w:afterLines="0" w:line="240" w:lineRule="auto"/>
    </w:pPr>
    <w:rPr>
      <w:sz w:val="21"/>
      <w:szCs w:val="21"/>
    </w:rPr>
  </w:style>
  <w:style w:type="character" w:customStyle="1" w:styleId="220">
    <w:name w:val="备注 字符"/>
    <w:link w:val="219"/>
    <w:autoRedefine/>
    <w:qFormat/>
    <w:uiPriority w:val="0"/>
    <w:rPr>
      <w:rFonts w:ascii="Times New Roman" w:hAnsi="Times New Roman"/>
      <w:kern w:val="2"/>
      <w:sz w:val="21"/>
      <w:szCs w:val="21"/>
    </w:rPr>
  </w:style>
  <w:style w:type="paragraph" w:customStyle="1" w:styleId="221">
    <w:name w:val="节标题1.1.1.1"/>
    <w:basedOn w:val="6"/>
    <w:link w:val="222"/>
    <w:autoRedefine/>
    <w:qFormat/>
    <w:uiPriority w:val="0"/>
    <w:pPr>
      <w:keepNext w:val="0"/>
      <w:keepLines w:val="0"/>
      <w:adjustRightInd w:val="0"/>
      <w:snapToGrid w:val="0"/>
      <w:spacing w:line="360" w:lineRule="auto"/>
      <w:contextualSpacing/>
    </w:pPr>
    <w:rPr>
      <w:rFonts w:eastAsia="宋体"/>
      <w:b/>
      <w:bCs w:val="0"/>
      <w:szCs w:val="24"/>
      <w:lang w:val="en-US"/>
    </w:rPr>
  </w:style>
  <w:style w:type="character" w:customStyle="1" w:styleId="222">
    <w:name w:val="节标题1.1.1.1 字符"/>
    <w:link w:val="221"/>
    <w:autoRedefine/>
    <w:qFormat/>
    <w:uiPriority w:val="0"/>
    <w:rPr>
      <w:rFonts w:ascii="Times New Roman" w:hAnsi="Times New Roman"/>
      <w:b/>
      <w:sz w:val="24"/>
      <w:szCs w:val="24"/>
    </w:rPr>
  </w:style>
  <w:style w:type="paragraph" w:customStyle="1" w:styleId="223">
    <w:name w:val="新正文"/>
    <w:basedOn w:val="1"/>
    <w:link w:val="224"/>
    <w:autoRedefine/>
    <w:qFormat/>
    <w:uiPriority w:val="0"/>
    <w:pPr>
      <w:widowControl/>
      <w:adjustRightInd w:val="0"/>
      <w:ind w:firstLine="560" w:firstLineChars="200"/>
      <w:jc w:val="left"/>
    </w:pPr>
    <w:rPr>
      <w:color w:val="000000"/>
      <w:kern w:val="0"/>
      <w:szCs w:val="28"/>
      <w:lang w:val="zh-CN"/>
    </w:rPr>
  </w:style>
  <w:style w:type="character" w:customStyle="1" w:styleId="224">
    <w:name w:val="新正文 Char"/>
    <w:link w:val="223"/>
    <w:autoRedefine/>
    <w:qFormat/>
    <w:uiPriority w:val="0"/>
    <w:rPr>
      <w:rFonts w:ascii="Times New Roman" w:hAnsi="Times New Roman"/>
      <w:color w:val="000000"/>
      <w:sz w:val="24"/>
      <w:szCs w:val="28"/>
      <w:lang w:val="zh-CN" w:eastAsia="zh-CN"/>
    </w:rPr>
  </w:style>
  <w:style w:type="paragraph" w:customStyle="1" w:styleId="225">
    <w:name w:val="3"/>
    <w:basedOn w:val="1"/>
    <w:next w:val="1"/>
    <w:autoRedefine/>
    <w:unhideWhenUsed/>
    <w:qFormat/>
    <w:uiPriority w:val="39"/>
    <w:pPr>
      <w:spacing w:beforeLines="0" w:afterLines="0" w:line="240" w:lineRule="auto"/>
      <w:ind w:left="3360" w:leftChars="1600"/>
    </w:pPr>
    <w:rPr>
      <w:rFonts w:ascii="Calibri" w:hAnsi="Calibri"/>
      <w:sz w:val="21"/>
    </w:rPr>
  </w:style>
  <w:style w:type="paragraph" w:customStyle="1" w:styleId="226">
    <w:name w:val="HAO章标题"/>
    <w:next w:val="3"/>
    <w:link w:val="227"/>
    <w:autoRedefine/>
    <w:qFormat/>
    <w:uiPriority w:val="0"/>
    <w:pPr>
      <w:spacing w:line="360" w:lineRule="auto"/>
      <w:ind w:left="420" w:hanging="420"/>
      <w:outlineLvl w:val="0"/>
    </w:pPr>
    <w:rPr>
      <w:rFonts w:ascii="Times New Roman" w:hAnsi="Times New Roman" w:eastAsia="黑体" w:cs="Times New Roman"/>
      <w:bCs/>
      <w:kern w:val="44"/>
      <w:sz w:val="32"/>
      <w:szCs w:val="44"/>
      <w:lang w:val="en-US" w:eastAsia="zh-CN" w:bidi="ar-SA"/>
    </w:rPr>
  </w:style>
  <w:style w:type="character" w:customStyle="1" w:styleId="227">
    <w:name w:val="HAO章标题 字符"/>
    <w:link w:val="226"/>
    <w:autoRedefine/>
    <w:qFormat/>
    <w:uiPriority w:val="0"/>
    <w:rPr>
      <w:rFonts w:ascii="Times New Roman" w:hAnsi="Times New Roman" w:eastAsia="黑体"/>
      <w:bCs/>
      <w:kern w:val="44"/>
      <w:sz w:val="32"/>
      <w:szCs w:val="44"/>
      <w:lang w:val="zh-CN" w:eastAsia="zh-CN"/>
    </w:rPr>
  </w:style>
  <w:style w:type="paragraph" w:customStyle="1" w:styleId="228">
    <w:name w:val="HAO摘要"/>
    <w:basedOn w:val="3"/>
    <w:link w:val="229"/>
    <w:autoRedefine/>
    <w:qFormat/>
    <w:uiPriority w:val="0"/>
    <w:pPr>
      <w:keepNext/>
      <w:keepLines/>
      <w:numPr>
        <w:numId w:val="0"/>
      </w:numPr>
      <w:adjustRightInd/>
      <w:spacing w:beforeLines="0" w:afterLines="0"/>
      <w:jc w:val="center"/>
    </w:pPr>
    <w:rPr>
      <w:rFonts w:eastAsia="黑体"/>
      <w:b w:val="0"/>
      <w:bCs/>
      <w:snapToGrid w:val="0"/>
      <w:vanish/>
      <w:sz w:val="36"/>
    </w:rPr>
  </w:style>
  <w:style w:type="character" w:customStyle="1" w:styleId="229">
    <w:name w:val="HAO摘要 字符"/>
    <w:link w:val="228"/>
    <w:autoRedefine/>
    <w:qFormat/>
    <w:uiPriority w:val="0"/>
    <w:rPr>
      <w:rFonts w:ascii="Times New Roman" w:hAnsi="Times New Roman" w:eastAsia="黑体"/>
      <w:bCs/>
      <w:snapToGrid w:val="0"/>
      <w:vanish/>
      <w:kern w:val="44"/>
      <w:sz w:val="36"/>
      <w:szCs w:val="44"/>
    </w:rPr>
  </w:style>
  <w:style w:type="paragraph" w:customStyle="1" w:styleId="230">
    <w:name w:val="HAO标题"/>
    <w:next w:val="1"/>
    <w:autoRedefine/>
    <w:qFormat/>
    <w:uiPriority w:val="99"/>
    <w:pPr>
      <w:spacing w:beforeLines="50" w:afterLines="50"/>
      <w:jc w:val="center"/>
    </w:pPr>
    <w:rPr>
      <w:rFonts w:ascii="Times New Roman" w:hAnsi="Times New Roman" w:eastAsia="黑体" w:cs="Times New Roman"/>
      <w:kern w:val="2"/>
      <w:sz w:val="21"/>
      <w:szCs w:val="21"/>
      <w:lang w:val="en-US" w:eastAsia="zh-CN" w:bidi="ar-SA"/>
    </w:rPr>
  </w:style>
  <w:style w:type="paragraph" w:customStyle="1" w:styleId="231">
    <w:name w:val="HAO表样式"/>
    <w:basedOn w:val="1"/>
    <w:link w:val="232"/>
    <w:autoRedefine/>
    <w:qFormat/>
    <w:uiPriority w:val="0"/>
    <w:pPr>
      <w:widowControl/>
      <w:adjustRightInd w:val="0"/>
      <w:snapToGrid w:val="0"/>
      <w:spacing w:beforeLines="0" w:afterLines="0" w:line="240" w:lineRule="auto"/>
      <w:jc w:val="center"/>
    </w:pPr>
    <w:rPr>
      <w:snapToGrid w:val="0"/>
      <w:kern w:val="21"/>
      <w:sz w:val="21"/>
      <w:szCs w:val="17"/>
    </w:rPr>
  </w:style>
  <w:style w:type="character" w:customStyle="1" w:styleId="232">
    <w:name w:val="HAO表样式 字符"/>
    <w:link w:val="231"/>
    <w:autoRedefine/>
    <w:qFormat/>
    <w:uiPriority w:val="0"/>
    <w:rPr>
      <w:rFonts w:ascii="Times New Roman" w:hAnsi="Times New Roman"/>
      <w:snapToGrid w:val="0"/>
      <w:kern w:val="21"/>
      <w:sz w:val="21"/>
      <w:szCs w:val="17"/>
    </w:rPr>
  </w:style>
  <w:style w:type="paragraph" w:customStyle="1" w:styleId="233">
    <w:name w:val="HAO图表标题-表"/>
    <w:basedOn w:val="1"/>
    <w:next w:val="1"/>
    <w:link w:val="234"/>
    <w:autoRedefine/>
    <w:qFormat/>
    <w:uiPriority w:val="0"/>
    <w:pPr>
      <w:widowControl/>
      <w:adjustRightInd w:val="0"/>
      <w:snapToGrid w:val="0"/>
      <w:spacing w:beforeLines="0" w:afterLines="0"/>
      <w:ind w:firstLine="200" w:firstLineChars="200"/>
      <w:jc w:val="center"/>
    </w:pPr>
    <w:rPr>
      <w:rFonts w:eastAsia="黑体"/>
      <w:bCs/>
      <w:kern w:val="0"/>
      <w:szCs w:val="20"/>
    </w:rPr>
  </w:style>
  <w:style w:type="character" w:customStyle="1" w:styleId="234">
    <w:name w:val="HAO图表标题-表 字符"/>
    <w:link w:val="233"/>
    <w:autoRedefine/>
    <w:qFormat/>
    <w:uiPriority w:val="0"/>
    <w:rPr>
      <w:rFonts w:ascii="Times New Roman" w:hAnsi="Times New Roman" w:eastAsia="黑体"/>
      <w:bCs/>
      <w:sz w:val="24"/>
    </w:rPr>
  </w:style>
  <w:style w:type="paragraph" w:customStyle="1" w:styleId="235">
    <w:name w:val="周标题5"/>
    <w:basedOn w:val="120"/>
    <w:autoRedefine/>
    <w:qFormat/>
    <w:uiPriority w:val="99"/>
    <w:pPr>
      <w:snapToGrid w:val="0"/>
      <w:spacing w:beforeLines="0" w:afterLines="0"/>
      <w:ind w:left="1200" w:firstLine="0" w:firstLineChars="0"/>
      <w:outlineLvl w:val="4"/>
    </w:pPr>
    <w:rPr>
      <w:rFonts w:eastAsia="黑体"/>
    </w:rPr>
  </w:style>
  <w:style w:type="paragraph" w:customStyle="1" w:styleId="236">
    <w:name w:val="样式8"/>
    <w:basedOn w:val="1"/>
    <w:autoRedefine/>
    <w:qFormat/>
    <w:uiPriority w:val="99"/>
    <w:pPr>
      <w:widowControl/>
      <w:tabs>
        <w:tab w:val="left" w:pos="1020"/>
      </w:tabs>
      <w:spacing w:beforeLines="0" w:afterLines="0" w:line="240" w:lineRule="auto"/>
      <w:ind w:left="1020"/>
      <w:jc w:val="left"/>
    </w:pPr>
    <w:rPr>
      <w:sz w:val="21"/>
      <w:szCs w:val="24"/>
    </w:rPr>
  </w:style>
  <w:style w:type="paragraph" w:customStyle="1" w:styleId="237">
    <w:name w:val="xl40"/>
    <w:basedOn w:val="1"/>
    <w:autoRedefine/>
    <w:qFormat/>
    <w:uiPriority w:val="99"/>
    <w:pPr>
      <w:widowControl/>
      <w:pBdr>
        <w:bottom w:val="single" w:color="auto" w:sz="4" w:space="0"/>
      </w:pBdr>
      <w:spacing w:beforeLines="0" w:beforeAutospacing="1" w:afterLines="0" w:afterAutospacing="1" w:line="240" w:lineRule="auto"/>
      <w:jc w:val="left"/>
    </w:pPr>
    <w:rPr>
      <w:rFonts w:ascii="Arial Unicode MS" w:hAnsi="Arial Unicode MS" w:eastAsia="Arial Unicode MS" w:cs="Arial Unicode MS"/>
      <w:kern w:val="0"/>
      <w:szCs w:val="24"/>
    </w:rPr>
  </w:style>
  <w:style w:type="paragraph" w:styleId="238">
    <w:name w:val="Quote"/>
    <w:basedOn w:val="1"/>
    <w:next w:val="1"/>
    <w:link w:val="239"/>
    <w:autoRedefine/>
    <w:qFormat/>
    <w:uiPriority w:val="29"/>
    <w:pPr>
      <w:widowControl/>
      <w:snapToGrid w:val="0"/>
      <w:spacing w:beforeLines="0" w:afterLines="0" w:line="276" w:lineRule="auto"/>
      <w:ind w:firstLine="200" w:firstLineChars="200"/>
      <w:jc w:val="left"/>
    </w:pPr>
    <w:rPr>
      <w:rFonts w:ascii="Calibri" w:hAnsi="Calibri"/>
      <w:i/>
      <w:iCs/>
      <w:color w:val="000000"/>
      <w:kern w:val="0"/>
      <w:sz w:val="22"/>
      <w:szCs w:val="21"/>
    </w:rPr>
  </w:style>
  <w:style w:type="character" w:customStyle="1" w:styleId="239">
    <w:name w:val="引用 字符"/>
    <w:link w:val="238"/>
    <w:autoRedefine/>
    <w:qFormat/>
    <w:uiPriority w:val="29"/>
    <w:rPr>
      <w:i/>
      <w:iCs/>
      <w:color w:val="000000"/>
      <w:sz w:val="22"/>
      <w:szCs w:val="21"/>
    </w:rPr>
  </w:style>
  <w:style w:type="paragraph" w:styleId="240">
    <w:name w:val="Intense Quote"/>
    <w:basedOn w:val="1"/>
    <w:next w:val="1"/>
    <w:link w:val="241"/>
    <w:autoRedefine/>
    <w:qFormat/>
    <w:uiPriority w:val="30"/>
    <w:pPr>
      <w:pBdr>
        <w:top w:val="single" w:color="4472C4" w:sz="4" w:space="10"/>
        <w:bottom w:val="single" w:color="4472C4" w:sz="4" w:space="10"/>
      </w:pBdr>
      <w:snapToGrid w:val="0"/>
      <w:spacing w:beforeLines="0" w:afterLines="0"/>
      <w:ind w:left="864" w:right="864" w:firstLine="200" w:firstLineChars="200"/>
      <w:jc w:val="center"/>
    </w:pPr>
    <w:rPr>
      <w:i/>
      <w:iCs/>
      <w:color w:val="4472C4"/>
      <w:szCs w:val="21"/>
    </w:rPr>
  </w:style>
  <w:style w:type="character" w:customStyle="1" w:styleId="241">
    <w:name w:val="明显引用 字符"/>
    <w:link w:val="240"/>
    <w:autoRedefine/>
    <w:qFormat/>
    <w:uiPriority w:val="30"/>
    <w:rPr>
      <w:rFonts w:ascii="Times New Roman" w:hAnsi="Times New Roman"/>
      <w:i/>
      <w:iCs/>
      <w:color w:val="4472C4"/>
      <w:kern w:val="2"/>
      <w:sz w:val="24"/>
      <w:szCs w:val="21"/>
    </w:rPr>
  </w:style>
  <w:style w:type="character" w:customStyle="1" w:styleId="242">
    <w:name w:val="明显强调1"/>
    <w:autoRedefine/>
    <w:qFormat/>
    <w:uiPriority w:val="21"/>
    <w:rPr>
      <w:i/>
      <w:iCs/>
      <w:color w:val="4472C4"/>
    </w:rPr>
  </w:style>
  <w:style w:type="character" w:customStyle="1" w:styleId="243">
    <w:name w:val="不明显参考1"/>
    <w:autoRedefine/>
    <w:qFormat/>
    <w:uiPriority w:val="31"/>
    <w:rPr>
      <w:smallCaps/>
      <w:color w:val="5A5A5A"/>
    </w:rPr>
  </w:style>
  <w:style w:type="character" w:customStyle="1" w:styleId="244">
    <w:name w:val="明显参考1"/>
    <w:autoRedefine/>
    <w:qFormat/>
    <w:uiPriority w:val="32"/>
    <w:rPr>
      <w:b/>
      <w:bCs/>
      <w:smallCaps/>
      <w:color w:val="4472C4"/>
      <w:spacing w:val="5"/>
    </w:rPr>
  </w:style>
  <w:style w:type="character" w:customStyle="1" w:styleId="245">
    <w:name w:val="书籍标题1"/>
    <w:autoRedefine/>
    <w:qFormat/>
    <w:uiPriority w:val="33"/>
    <w:rPr>
      <w:b/>
      <w:bCs/>
      <w:i/>
      <w:iCs/>
      <w:spacing w:val="5"/>
    </w:rPr>
  </w:style>
  <w:style w:type="paragraph" w:customStyle="1" w:styleId="246">
    <w:name w:val="样式2"/>
    <w:basedOn w:val="5"/>
    <w:autoRedefine/>
    <w:qFormat/>
    <w:uiPriority w:val="99"/>
    <w:pPr>
      <w:keepNext/>
      <w:keepLines/>
      <w:numPr>
        <w:numId w:val="0"/>
      </w:numPr>
      <w:adjustRightInd/>
      <w:spacing w:beforeLines="0" w:afterLines="0" w:line="416" w:lineRule="auto"/>
      <w:ind w:left="1250" w:hanging="170"/>
      <w:jc w:val="left"/>
    </w:pPr>
    <w:rPr>
      <w:rFonts w:eastAsia="黑体"/>
      <w:b w:val="0"/>
      <w:bCs w:val="0"/>
      <w:kern w:val="2"/>
      <w:sz w:val="30"/>
      <w:lang w:val="en-US"/>
    </w:rPr>
  </w:style>
  <w:style w:type="paragraph" w:customStyle="1" w:styleId="247">
    <w:name w:val="表名"/>
    <w:basedOn w:val="1"/>
    <w:link w:val="248"/>
    <w:autoRedefine/>
    <w:qFormat/>
    <w:uiPriority w:val="0"/>
    <w:pPr>
      <w:widowControl/>
      <w:snapToGrid w:val="0"/>
      <w:spacing w:beforeLines="25" w:after="50" w:line="400" w:lineRule="exact"/>
      <w:ind w:firstLine="480" w:firstLineChars="200"/>
      <w:jc w:val="center"/>
    </w:pPr>
    <w:rPr>
      <w:rFonts w:ascii="宋体" w:hAnsi="宋体"/>
      <w:b/>
      <w:color w:val="000000"/>
      <w:kern w:val="0"/>
      <w:szCs w:val="24"/>
    </w:rPr>
  </w:style>
  <w:style w:type="character" w:customStyle="1" w:styleId="248">
    <w:name w:val="表名 Char"/>
    <w:link w:val="247"/>
    <w:autoRedefine/>
    <w:qFormat/>
    <w:uiPriority w:val="0"/>
    <w:rPr>
      <w:rFonts w:ascii="宋体" w:hAnsi="宋体"/>
      <w:b/>
      <w:color w:val="000000"/>
      <w:sz w:val="24"/>
      <w:szCs w:val="24"/>
    </w:rPr>
  </w:style>
  <w:style w:type="paragraph" w:customStyle="1" w:styleId="249">
    <w:name w:val="文章正文空格"/>
    <w:basedOn w:val="1"/>
    <w:link w:val="250"/>
    <w:autoRedefine/>
    <w:qFormat/>
    <w:uiPriority w:val="0"/>
    <w:pPr>
      <w:snapToGrid w:val="0"/>
      <w:spacing w:beforeLines="0" w:afterLines="0" w:line="300" w:lineRule="auto"/>
      <w:ind w:firstLine="480" w:firstLineChars="200"/>
    </w:pPr>
    <w:rPr>
      <w:szCs w:val="24"/>
    </w:rPr>
  </w:style>
  <w:style w:type="character" w:customStyle="1" w:styleId="250">
    <w:name w:val="文章正文空格 Char"/>
    <w:link w:val="249"/>
    <w:autoRedefine/>
    <w:qFormat/>
    <w:uiPriority w:val="0"/>
    <w:rPr>
      <w:rFonts w:ascii="Times New Roman" w:hAnsi="Times New Roman"/>
      <w:kern w:val="2"/>
      <w:sz w:val="24"/>
      <w:szCs w:val="24"/>
    </w:rPr>
  </w:style>
  <w:style w:type="paragraph" w:customStyle="1" w:styleId="251">
    <w:name w:val="公式说明"/>
    <w:basedOn w:val="249"/>
    <w:link w:val="252"/>
    <w:autoRedefine/>
    <w:qFormat/>
    <w:uiPriority w:val="0"/>
    <w:pPr>
      <w:ind w:firstLine="0" w:firstLineChars="0"/>
    </w:pPr>
  </w:style>
  <w:style w:type="character" w:customStyle="1" w:styleId="252">
    <w:name w:val="公式说明 Char"/>
    <w:link w:val="251"/>
    <w:autoRedefine/>
    <w:qFormat/>
    <w:uiPriority w:val="0"/>
    <w:rPr>
      <w:rFonts w:ascii="Times New Roman" w:hAnsi="Times New Roman"/>
      <w:kern w:val="2"/>
      <w:sz w:val="24"/>
      <w:szCs w:val="24"/>
    </w:rPr>
  </w:style>
  <w:style w:type="paragraph" w:customStyle="1" w:styleId="253">
    <w:name w:val="表首行"/>
    <w:basedOn w:val="1"/>
    <w:link w:val="254"/>
    <w:autoRedefine/>
    <w:qFormat/>
    <w:uiPriority w:val="0"/>
    <w:pPr>
      <w:snapToGrid w:val="0"/>
      <w:spacing w:before="120" w:after="120"/>
      <w:ind w:firstLine="200" w:firstLineChars="200"/>
      <w:jc w:val="center"/>
    </w:pPr>
    <w:rPr>
      <w:b/>
      <w:szCs w:val="21"/>
    </w:rPr>
  </w:style>
  <w:style w:type="character" w:customStyle="1" w:styleId="254">
    <w:name w:val="表首行 Char"/>
    <w:link w:val="253"/>
    <w:autoRedefine/>
    <w:qFormat/>
    <w:uiPriority w:val="0"/>
    <w:rPr>
      <w:rFonts w:ascii="Times New Roman" w:hAnsi="Times New Roman"/>
      <w:b/>
      <w:kern w:val="2"/>
      <w:sz w:val="24"/>
      <w:szCs w:val="21"/>
    </w:rPr>
  </w:style>
  <w:style w:type="paragraph" w:customStyle="1" w:styleId="255">
    <w:name w:val="四级标题"/>
    <w:basedOn w:val="1"/>
    <w:link w:val="256"/>
    <w:autoRedefine/>
    <w:qFormat/>
    <w:uiPriority w:val="0"/>
    <w:pPr>
      <w:snapToGrid w:val="0"/>
      <w:spacing w:before="50" w:after="50"/>
      <w:ind w:firstLine="200" w:firstLineChars="200"/>
      <w:contextualSpacing/>
    </w:pPr>
    <w:rPr>
      <w:rFonts w:ascii="Calibri" w:hAnsi="Calibri"/>
      <w:b/>
      <w:szCs w:val="15"/>
    </w:rPr>
  </w:style>
  <w:style w:type="character" w:customStyle="1" w:styleId="256">
    <w:name w:val="四级标题 字符"/>
    <w:link w:val="255"/>
    <w:autoRedefine/>
    <w:qFormat/>
    <w:uiPriority w:val="0"/>
    <w:rPr>
      <w:b/>
      <w:kern w:val="2"/>
      <w:sz w:val="24"/>
      <w:szCs w:val="15"/>
    </w:rPr>
  </w:style>
  <w:style w:type="paragraph" w:customStyle="1" w:styleId="257">
    <w:name w:val="表内容"/>
    <w:basedOn w:val="1"/>
    <w:link w:val="258"/>
    <w:autoRedefine/>
    <w:qFormat/>
    <w:uiPriority w:val="0"/>
    <w:pPr>
      <w:snapToGrid w:val="0"/>
      <w:spacing w:beforeLines="0" w:afterLines="0"/>
      <w:ind w:firstLine="200" w:firstLineChars="200"/>
      <w:jc w:val="center"/>
    </w:pPr>
    <w:rPr>
      <w:szCs w:val="21"/>
    </w:rPr>
  </w:style>
  <w:style w:type="character" w:customStyle="1" w:styleId="258">
    <w:name w:val="表内容 Char"/>
    <w:link w:val="257"/>
    <w:autoRedefine/>
    <w:qFormat/>
    <w:uiPriority w:val="0"/>
    <w:rPr>
      <w:rFonts w:ascii="Times New Roman" w:hAnsi="Times New Roman"/>
      <w:kern w:val="2"/>
      <w:sz w:val="24"/>
      <w:szCs w:val="21"/>
    </w:rPr>
  </w:style>
  <w:style w:type="paragraph" w:customStyle="1" w:styleId="259">
    <w:name w:val="文章正文"/>
    <w:basedOn w:val="1"/>
    <w:link w:val="260"/>
    <w:autoRedefine/>
    <w:qFormat/>
    <w:uiPriority w:val="0"/>
    <w:pPr>
      <w:snapToGrid w:val="0"/>
      <w:spacing w:beforeLines="0" w:afterLines="0"/>
      <w:ind w:firstLine="200" w:firstLineChars="200"/>
      <w:contextualSpacing/>
    </w:pPr>
    <w:rPr>
      <w:szCs w:val="24"/>
    </w:rPr>
  </w:style>
  <w:style w:type="character" w:customStyle="1" w:styleId="260">
    <w:name w:val="文章正文 Char"/>
    <w:link w:val="259"/>
    <w:autoRedefine/>
    <w:qFormat/>
    <w:uiPriority w:val="0"/>
    <w:rPr>
      <w:rFonts w:ascii="Times New Roman" w:hAnsi="Times New Roman"/>
      <w:kern w:val="2"/>
      <w:sz w:val="24"/>
      <w:szCs w:val="24"/>
    </w:rPr>
  </w:style>
  <w:style w:type="paragraph" w:customStyle="1" w:styleId="261">
    <w:name w:val="周正文"/>
    <w:basedOn w:val="1"/>
    <w:link w:val="262"/>
    <w:autoRedefine/>
    <w:qFormat/>
    <w:uiPriority w:val="0"/>
    <w:pPr>
      <w:snapToGrid w:val="0"/>
      <w:spacing w:beforeLines="0" w:afterLines="0"/>
      <w:ind w:firstLine="480" w:firstLineChars="200"/>
    </w:pPr>
    <w:rPr>
      <w:szCs w:val="21"/>
    </w:rPr>
  </w:style>
  <w:style w:type="character" w:customStyle="1" w:styleId="262">
    <w:name w:val="周正文 Char"/>
    <w:link w:val="261"/>
    <w:autoRedefine/>
    <w:qFormat/>
    <w:uiPriority w:val="0"/>
    <w:rPr>
      <w:rFonts w:ascii="Times New Roman" w:hAnsi="Times New Roman"/>
      <w:kern w:val="2"/>
      <w:sz w:val="24"/>
      <w:szCs w:val="21"/>
    </w:rPr>
  </w:style>
  <w:style w:type="paragraph" w:customStyle="1" w:styleId="263">
    <w:name w:val="周标题4"/>
    <w:basedOn w:val="1"/>
    <w:link w:val="264"/>
    <w:autoRedefine/>
    <w:qFormat/>
    <w:uiPriority w:val="0"/>
    <w:pPr>
      <w:keepNext/>
      <w:keepLines/>
      <w:snapToGrid w:val="0"/>
      <w:spacing w:beforeLines="0" w:afterLines="0"/>
      <w:ind w:left="851" w:hanging="851" w:firstLineChars="200"/>
      <w:outlineLvl w:val="3"/>
    </w:pPr>
    <w:rPr>
      <w:rFonts w:ascii="黑体" w:eastAsia="黑体"/>
      <w:bCs/>
      <w:kern w:val="0"/>
      <w:szCs w:val="24"/>
      <w:lang w:eastAsia="en-US" w:bidi="en-US"/>
    </w:rPr>
  </w:style>
  <w:style w:type="character" w:customStyle="1" w:styleId="264">
    <w:name w:val="周标题4 Char"/>
    <w:link w:val="263"/>
    <w:autoRedefine/>
    <w:qFormat/>
    <w:uiPriority w:val="0"/>
    <w:rPr>
      <w:rFonts w:ascii="黑体" w:hAnsi="Times New Roman" w:eastAsia="黑体"/>
      <w:bCs/>
      <w:sz w:val="24"/>
      <w:szCs w:val="24"/>
      <w:lang w:eastAsia="en-US" w:bidi="en-US"/>
    </w:rPr>
  </w:style>
  <w:style w:type="paragraph" w:customStyle="1" w:styleId="265">
    <w:name w:val="周标题3"/>
    <w:basedOn w:val="1"/>
    <w:link w:val="266"/>
    <w:autoRedefine/>
    <w:qFormat/>
    <w:uiPriority w:val="0"/>
    <w:pPr>
      <w:keepNext/>
      <w:keepLines/>
      <w:snapToGrid w:val="0"/>
      <w:spacing w:beforeLines="0" w:afterLines="0"/>
      <w:ind w:left="709" w:hanging="709" w:firstLineChars="200"/>
      <w:outlineLvl w:val="2"/>
    </w:pPr>
    <w:rPr>
      <w:rFonts w:ascii="黑体" w:eastAsia="黑体"/>
      <w:bCs/>
      <w:kern w:val="0"/>
      <w:sz w:val="26"/>
      <w:szCs w:val="26"/>
      <w:lang w:eastAsia="en-US" w:bidi="en-US"/>
    </w:rPr>
  </w:style>
  <w:style w:type="character" w:customStyle="1" w:styleId="266">
    <w:name w:val="周标题3 Char"/>
    <w:link w:val="265"/>
    <w:autoRedefine/>
    <w:qFormat/>
    <w:uiPriority w:val="0"/>
    <w:rPr>
      <w:rFonts w:ascii="黑体" w:hAnsi="Times New Roman" w:eastAsia="黑体"/>
      <w:bCs/>
      <w:sz w:val="26"/>
      <w:szCs w:val="26"/>
      <w:lang w:eastAsia="en-US" w:bidi="en-US"/>
    </w:rPr>
  </w:style>
  <w:style w:type="paragraph" w:customStyle="1" w:styleId="267">
    <w:name w:val="周标题6"/>
    <w:basedOn w:val="261"/>
    <w:link w:val="268"/>
    <w:autoRedefine/>
    <w:qFormat/>
    <w:uiPriority w:val="0"/>
    <w:pPr>
      <w:spacing w:before="120" w:after="60" w:line="240" w:lineRule="auto"/>
      <w:ind w:left="840" w:firstLine="0" w:firstLineChars="0"/>
    </w:pPr>
    <w:rPr>
      <w:rFonts w:ascii="黑体" w:hAnsi="黑体" w:eastAsia="黑体"/>
    </w:rPr>
  </w:style>
  <w:style w:type="character" w:customStyle="1" w:styleId="268">
    <w:name w:val="周标题6 Char"/>
    <w:link w:val="267"/>
    <w:autoRedefine/>
    <w:qFormat/>
    <w:uiPriority w:val="0"/>
    <w:rPr>
      <w:rFonts w:ascii="黑体" w:hAnsi="黑体" w:eastAsia="黑体"/>
      <w:kern w:val="2"/>
      <w:sz w:val="24"/>
      <w:szCs w:val="21"/>
    </w:rPr>
  </w:style>
  <w:style w:type="paragraph" w:customStyle="1" w:styleId="269">
    <w:name w:val="表格样式"/>
    <w:basedOn w:val="1"/>
    <w:link w:val="270"/>
    <w:autoRedefine/>
    <w:qFormat/>
    <w:uiPriority w:val="0"/>
    <w:pPr>
      <w:adjustRightInd w:val="0"/>
      <w:snapToGrid w:val="0"/>
      <w:spacing w:beforeLines="0" w:afterLines="0" w:line="240" w:lineRule="auto"/>
      <w:jc w:val="center"/>
    </w:pPr>
    <w:rPr>
      <w:bCs/>
      <w:kern w:val="0"/>
      <w:sz w:val="21"/>
      <w:szCs w:val="18"/>
    </w:rPr>
  </w:style>
  <w:style w:type="character" w:customStyle="1" w:styleId="270">
    <w:name w:val="表格样式 Char"/>
    <w:link w:val="269"/>
    <w:autoRedefine/>
    <w:qFormat/>
    <w:uiPriority w:val="0"/>
    <w:rPr>
      <w:rFonts w:ascii="Times New Roman" w:hAnsi="Times New Roman"/>
      <w:bCs/>
      <w:sz w:val="21"/>
      <w:szCs w:val="18"/>
    </w:rPr>
  </w:style>
  <w:style w:type="paragraph" w:customStyle="1" w:styleId="271">
    <w:name w:val="A3"/>
    <w:basedOn w:val="1"/>
    <w:link w:val="272"/>
    <w:autoRedefine/>
    <w:qFormat/>
    <w:uiPriority w:val="1"/>
    <w:pPr>
      <w:snapToGrid w:val="0"/>
      <w:spacing w:beforeLines="0" w:afterLines="0"/>
      <w:ind w:left="1418" w:hanging="567" w:firstLineChars="200"/>
    </w:pPr>
    <w:rPr>
      <w:rFonts w:ascii="Calibri" w:hAnsi="Calibri" w:eastAsia="楷体_GB2312"/>
      <w:sz w:val="28"/>
      <w:szCs w:val="21"/>
    </w:rPr>
  </w:style>
  <w:style w:type="character" w:customStyle="1" w:styleId="272">
    <w:name w:val="A3 Char"/>
    <w:link w:val="271"/>
    <w:autoRedefine/>
    <w:qFormat/>
    <w:uiPriority w:val="1"/>
    <w:rPr>
      <w:rFonts w:eastAsia="楷体_GB2312"/>
      <w:kern w:val="2"/>
      <w:sz w:val="28"/>
      <w:szCs w:val="21"/>
    </w:rPr>
  </w:style>
  <w:style w:type="paragraph" w:customStyle="1" w:styleId="273">
    <w:name w:val="A4"/>
    <w:basedOn w:val="19"/>
    <w:link w:val="274"/>
    <w:autoRedefine/>
    <w:qFormat/>
    <w:uiPriority w:val="1"/>
    <w:pPr>
      <w:keepNext w:val="0"/>
      <w:keepLines w:val="0"/>
      <w:adjustRightInd/>
      <w:spacing w:line="360" w:lineRule="auto"/>
      <w:ind w:left="1984" w:hanging="708" w:firstLineChars="200"/>
    </w:pPr>
    <w:rPr>
      <w:rFonts w:ascii="Calibri" w:hAnsi="Calibri" w:eastAsia="楷体_GB2312"/>
      <w:b w:val="0"/>
      <w:bCs w:val="0"/>
      <w:sz w:val="28"/>
      <w:szCs w:val="22"/>
      <w:lang w:val="en-US"/>
    </w:rPr>
  </w:style>
  <w:style w:type="character" w:customStyle="1" w:styleId="274">
    <w:name w:val="A4 Char"/>
    <w:link w:val="273"/>
    <w:autoRedefine/>
    <w:qFormat/>
    <w:uiPriority w:val="1"/>
    <w:rPr>
      <w:rFonts w:eastAsia="楷体_GB2312"/>
      <w:kern w:val="2"/>
      <w:sz w:val="28"/>
      <w:szCs w:val="22"/>
    </w:rPr>
  </w:style>
  <w:style w:type="paragraph" w:customStyle="1" w:styleId="275">
    <w:name w:val="A12"/>
    <w:basedOn w:val="1"/>
    <w:autoRedefine/>
    <w:qFormat/>
    <w:uiPriority w:val="1"/>
    <w:pPr>
      <w:snapToGrid w:val="0"/>
      <w:spacing w:beforeLines="0" w:afterLines="0"/>
      <w:ind w:left="992" w:hanging="567" w:firstLineChars="200"/>
    </w:pPr>
    <w:rPr>
      <w:rFonts w:ascii="楷体_GB2312" w:hAnsi="Calibri" w:eastAsia="楷体_GB2312"/>
      <w:sz w:val="28"/>
      <w:szCs w:val="28"/>
    </w:rPr>
  </w:style>
  <w:style w:type="paragraph" w:customStyle="1" w:styleId="276">
    <w:name w:val="A5"/>
    <w:basedOn w:val="19"/>
    <w:autoRedefine/>
    <w:qFormat/>
    <w:uiPriority w:val="1"/>
    <w:pPr>
      <w:keepNext w:val="0"/>
      <w:keepLines w:val="0"/>
      <w:adjustRightInd/>
      <w:spacing w:line="360" w:lineRule="auto"/>
      <w:ind w:left="2551" w:hanging="850" w:firstLineChars="200"/>
    </w:pPr>
    <w:rPr>
      <w:rFonts w:ascii="Calibri" w:hAnsi="Calibri" w:eastAsia="楷体_GB2312"/>
      <w:b w:val="0"/>
      <w:bCs w:val="0"/>
      <w:sz w:val="28"/>
      <w:szCs w:val="22"/>
      <w:lang w:val="en-US"/>
    </w:rPr>
  </w:style>
  <w:style w:type="paragraph" w:customStyle="1" w:styleId="277">
    <w:name w:val="A6"/>
    <w:basedOn w:val="19"/>
    <w:link w:val="278"/>
    <w:autoRedefine/>
    <w:qFormat/>
    <w:uiPriority w:val="1"/>
    <w:pPr>
      <w:keepNext w:val="0"/>
      <w:keepLines w:val="0"/>
      <w:adjustRightInd/>
      <w:spacing w:line="360" w:lineRule="auto"/>
      <w:ind w:left="3260" w:firstLine="200" w:firstLineChars="200"/>
    </w:pPr>
    <w:rPr>
      <w:rFonts w:ascii="Calibri" w:hAnsi="Calibri" w:eastAsia="楷体_GB2312"/>
      <w:b w:val="0"/>
      <w:bCs w:val="0"/>
      <w:sz w:val="28"/>
      <w:szCs w:val="22"/>
      <w:lang w:val="en-US"/>
    </w:rPr>
  </w:style>
  <w:style w:type="character" w:customStyle="1" w:styleId="278">
    <w:name w:val="A6 Char"/>
    <w:link w:val="277"/>
    <w:autoRedefine/>
    <w:qFormat/>
    <w:uiPriority w:val="1"/>
    <w:rPr>
      <w:rFonts w:eastAsia="楷体_GB2312"/>
      <w:kern w:val="2"/>
      <w:sz w:val="28"/>
      <w:szCs w:val="22"/>
    </w:rPr>
  </w:style>
  <w:style w:type="paragraph" w:customStyle="1" w:styleId="279">
    <w:name w:val="A1"/>
    <w:basedOn w:val="1"/>
    <w:autoRedefine/>
    <w:qFormat/>
    <w:uiPriority w:val="1"/>
    <w:pPr>
      <w:keepNext/>
      <w:keepLines/>
      <w:snapToGrid w:val="0"/>
      <w:spacing w:beforeLines="0" w:afterLines="0"/>
      <w:ind w:left="425" w:hanging="425" w:firstLineChars="200"/>
      <w:outlineLvl w:val="0"/>
    </w:pPr>
    <w:rPr>
      <w:rFonts w:ascii="楷体_GB2312" w:hAnsi="Calibri" w:eastAsia="楷体_GB2312"/>
      <w:b/>
      <w:sz w:val="28"/>
      <w:szCs w:val="28"/>
    </w:rPr>
  </w:style>
  <w:style w:type="paragraph" w:customStyle="1" w:styleId="280">
    <w:name w:val="图表题"/>
    <w:basedOn w:val="1"/>
    <w:autoRedefine/>
    <w:qFormat/>
    <w:uiPriority w:val="99"/>
    <w:pPr>
      <w:snapToGrid w:val="0"/>
      <w:spacing w:beforeLines="0" w:afterLines="0" w:line="240" w:lineRule="auto"/>
      <w:jc w:val="center"/>
    </w:pPr>
    <w:rPr>
      <w:rFonts w:eastAsia="黑体"/>
      <w:sz w:val="21"/>
      <w:szCs w:val="21"/>
    </w:rPr>
  </w:style>
  <w:style w:type="paragraph" w:customStyle="1" w:styleId="281">
    <w:name w:val="标注释"/>
    <w:basedOn w:val="1"/>
    <w:link w:val="282"/>
    <w:autoRedefine/>
    <w:qFormat/>
    <w:uiPriority w:val="0"/>
    <w:pPr>
      <w:snapToGrid w:val="0"/>
      <w:spacing w:beforeLines="0" w:afterLines="0" w:line="300" w:lineRule="auto"/>
      <w:ind w:firstLine="200" w:firstLineChars="200"/>
    </w:pPr>
    <w:rPr>
      <w:rFonts w:ascii="Calibri" w:hAnsi="Calibri"/>
      <w:sz w:val="15"/>
      <w:szCs w:val="15"/>
    </w:rPr>
  </w:style>
  <w:style w:type="character" w:customStyle="1" w:styleId="282">
    <w:name w:val="标注释 Char"/>
    <w:link w:val="281"/>
    <w:autoRedefine/>
    <w:qFormat/>
    <w:uiPriority w:val="0"/>
    <w:rPr>
      <w:kern w:val="2"/>
      <w:sz w:val="15"/>
      <w:szCs w:val="15"/>
    </w:rPr>
  </w:style>
  <w:style w:type="paragraph" w:customStyle="1" w:styleId="283">
    <w:name w:val="代丹表正文"/>
    <w:autoRedefine/>
    <w:qFormat/>
    <w:uiPriority w:val="99"/>
    <w:pPr>
      <w:widowControl w:val="0"/>
      <w:jc w:val="center"/>
    </w:pPr>
    <w:rPr>
      <w:rFonts w:ascii="Times New Roman" w:hAnsi="Times New Roman" w:eastAsia="宋体" w:cs="Times New Roman"/>
      <w:kern w:val="2"/>
      <w:sz w:val="21"/>
      <w:szCs w:val="24"/>
      <w:lang w:val="en-US" w:eastAsia="zh-CN" w:bidi="ar-SA"/>
    </w:rPr>
  </w:style>
  <w:style w:type="paragraph" w:styleId="284">
    <w:name w:val="No Spacing"/>
    <w:link w:val="285"/>
    <w:autoRedefine/>
    <w:qFormat/>
    <w:uiPriority w:val="1"/>
    <w:pPr>
      <w:spacing w:line="400" w:lineRule="exact"/>
      <w:jc w:val="both"/>
    </w:pPr>
    <w:rPr>
      <w:rFonts w:ascii="Calibri" w:hAnsi="Calibri" w:eastAsia="宋体" w:cs="Times New Roman"/>
      <w:sz w:val="22"/>
      <w:szCs w:val="21"/>
      <w:lang w:val="en-US" w:eastAsia="zh-CN" w:bidi="ar-SA"/>
    </w:rPr>
  </w:style>
  <w:style w:type="character" w:customStyle="1" w:styleId="285">
    <w:name w:val="无间隔 字符1"/>
    <w:link w:val="284"/>
    <w:autoRedefine/>
    <w:qFormat/>
    <w:uiPriority w:val="1"/>
    <w:rPr>
      <w:sz w:val="22"/>
      <w:szCs w:val="21"/>
    </w:rPr>
  </w:style>
  <w:style w:type="character" w:customStyle="1" w:styleId="286">
    <w:name w:val="未处理的提及51"/>
    <w:autoRedefine/>
    <w:semiHidden/>
    <w:unhideWhenUsed/>
    <w:qFormat/>
    <w:uiPriority w:val="99"/>
    <w:rPr>
      <w:color w:val="605E5C"/>
      <w:shd w:val="clear" w:color="auto" w:fill="E1DFDD"/>
    </w:rPr>
  </w:style>
  <w:style w:type="character" w:customStyle="1" w:styleId="287">
    <w:name w:val="表格正文 Char"/>
    <w:link w:val="127"/>
    <w:autoRedefine/>
    <w:qFormat/>
    <w:uiPriority w:val="0"/>
    <w:rPr>
      <w:rFonts w:ascii="Times New Roman" w:hAnsi="Times New Roman"/>
      <w:kern w:val="2"/>
      <w:sz w:val="21"/>
    </w:rPr>
  </w:style>
  <w:style w:type="paragraph" w:customStyle="1" w:styleId="288">
    <w:name w:val="图表标题1"/>
    <w:basedOn w:val="178"/>
    <w:link w:val="290"/>
    <w:autoRedefine/>
    <w:qFormat/>
    <w:uiPriority w:val="0"/>
    <w:pPr>
      <w:spacing w:before="50"/>
    </w:pPr>
  </w:style>
  <w:style w:type="paragraph" w:customStyle="1" w:styleId="289">
    <w:name w:val="表格内容1"/>
    <w:basedOn w:val="141"/>
    <w:link w:val="291"/>
    <w:autoRedefine/>
    <w:qFormat/>
    <w:uiPriority w:val="0"/>
  </w:style>
  <w:style w:type="character" w:customStyle="1" w:styleId="290">
    <w:name w:val="图表标题1 字符"/>
    <w:link w:val="288"/>
    <w:autoRedefine/>
    <w:qFormat/>
    <w:uiPriority w:val="0"/>
    <w:rPr>
      <w:rFonts w:ascii="Times New Roman" w:hAnsi="Times New Roman"/>
      <w:b/>
      <w:sz w:val="24"/>
      <w:szCs w:val="22"/>
      <w:lang w:val="zh-CN" w:eastAsia="zh-CN"/>
    </w:rPr>
  </w:style>
  <w:style w:type="character" w:customStyle="1" w:styleId="291">
    <w:name w:val="表格内容1 字符"/>
    <w:link w:val="289"/>
    <w:autoRedefine/>
    <w:qFormat/>
    <w:uiPriority w:val="0"/>
    <w:rPr>
      <w:rFonts w:ascii="Times New Roman" w:hAnsi="Times New Roman"/>
      <w:bCs/>
      <w:color w:val="000000"/>
      <w:sz w:val="21"/>
      <w:lang w:val="zh-CN" w:eastAsia="zh-CN"/>
    </w:rPr>
  </w:style>
  <w:style w:type="character" w:customStyle="1" w:styleId="292">
    <w:name w:val="图表标题 字符"/>
    <w:autoRedefine/>
    <w:qFormat/>
    <w:uiPriority w:val="0"/>
    <w:rPr>
      <w:rFonts w:ascii="Times New Roman" w:hAnsi="Times New Roman" w:eastAsia="仿宋" w:cs="Times New Roman"/>
      <w:b/>
      <w:kern w:val="2"/>
      <w:sz w:val="24"/>
      <w:szCs w:val="20"/>
    </w:rPr>
  </w:style>
  <w:style w:type="paragraph" w:customStyle="1" w:styleId="293">
    <w:name w:val="表格内容0"/>
    <w:basedOn w:val="141"/>
    <w:next w:val="141"/>
    <w:link w:val="294"/>
    <w:autoRedefine/>
    <w:qFormat/>
    <w:uiPriority w:val="0"/>
    <w:pPr>
      <w:snapToGrid/>
      <w:jc w:val="left"/>
    </w:pPr>
    <w:rPr>
      <w:bCs w:val="0"/>
      <w:color w:val="auto"/>
      <w:kern w:val="2"/>
      <w:szCs w:val="36"/>
      <w:lang w:val="en-US"/>
    </w:rPr>
  </w:style>
  <w:style w:type="character" w:customStyle="1" w:styleId="294">
    <w:name w:val="表格内容0 字符"/>
    <w:link w:val="293"/>
    <w:autoRedefine/>
    <w:qFormat/>
    <w:uiPriority w:val="0"/>
    <w:rPr>
      <w:rFonts w:ascii="Times New Roman" w:hAnsi="Times New Roman"/>
      <w:kern w:val="2"/>
      <w:sz w:val="21"/>
      <w:szCs w:val="36"/>
    </w:rPr>
  </w:style>
  <w:style w:type="paragraph" w:customStyle="1" w:styleId="295">
    <w:name w:val="font5"/>
    <w:basedOn w:val="1"/>
    <w:autoRedefine/>
    <w:qFormat/>
    <w:uiPriority w:val="0"/>
    <w:pPr>
      <w:widowControl/>
      <w:spacing w:beforeLines="0" w:beforeAutospacing="1" w:afterLines="0" w:afterAutospacing="1" w:line="240" w:lineRule="auto"/>
      <w:jc w:val="left"/>
    </w:pPr>
    <w:rPr>
      <w:rFonts w:ascii="宋体" w:hAnsi="宋体" w:cs="宋体"/>
      <w:kern w:val="0"/>
      <w:sz w:val="18"/>
      <w:szCs w:val="18"/>
    </w:rPr>
  </w:style>
  <w:style w:type="paragraph" w:customStyle="1" w:styleId="29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left"/>
    </w:pPr>
    <w:rPr>
      <w:rFonts w:ascii="宋体" w:hAnsi="宋体" w:cs="宋体"/>
      <w:kern w:val="0"/>
      <w:szCs w:val="24"/>
    </w:rPr>
  </w:style>
  <w:style w:type="paragraph" w:customStyle="1" w:styleId="29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left"/>
    </w:pPr>
    <w:rPr>
      <w:rFonts w:ascii="宋体" w:hAnsi="宋体" w:cs="宋体"/>
      <w:kern w:val="0"/>
      <w:szCs w:val="24"/>
    </w:rPr>
  </w:style>
  <w:style w:type="paragraph" w:customStyle="1" w:styleId="29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left"/>
    </w:pPr>
    <w:rPr>
      <w:rFonts w:ascii="宋体" w:hAnsi="宋体" w:cs="宋体"/>
      <w:kern w:val="0"/>
      <w:szCs w:val="24"/>
    </w:rPr>
  </w:style>
  <w:style w:type="character" w:customStyle="1" w:styleId="299">
    <w:name w:val="NormalCharacter"/>
    <w:autoRedefine/>
    <w:qFormat/>
    <w:uiPriority w:val="0"/>
    <w:rPr>
      <w:kern w:val="2"/>
      <w:sz w:val="21"/>
      <w:szCs w:val="22"/>
      <w:lang w:val="en-US" w:eastAsia="zh-CN" w:bidi="ar-SA"/>
    </w:rPr>
  </w:style>
  <w:style w:type="character" w:customStyle="1" w:styleId="300">
    <w:name w:val="正文文本首行缩进 字符1"/>
    <w:autoRedefine/>
    <w:semiHidden/>
    <w:qFormat/>
    <w:uiPriority w:val="99"/>
    <w:rPr>
      <w:rFonts w:eastAsia="仿宋"/>
      <w:kern w:val="2"/>
      <w:sz w:val="24"/>
      <w:szCs w:val="21"/>
      <w:lang w:val="zh-CN" w:eastAsia="zh-CN"/>
    </w:rPr>
  </w:style>
  <w:style w:type="table" w:customStyle="1" w:styleId="301">
    <w:name w:val="biao"/>
    <w:basedOn w:val="46"/>
    <w:autoRedefine/>
    <w:qFormat/>
    <w:uiPriority w:val="99"/>
    <w:pPr>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Times New Roman" w:hAnsi="Times New Roman" w:eastAsia="宋体"/>
        <w:b/>
        <w:sz w:val="21"/>
      </w:rPr>
    </w:tblStylePr>
  </w:style>
  <w:style w:type="paragraph" w:customStyle="1" w:styleId="302">
    <w:name w:val="font6"/>
    <w:basedOn w:val="1"/>
    <w:autoRedefine/>
    <w:qFormat/>
    <w:uiPriority w:val="0"/>
    <w:pPr>
      <w:widowControl/>
      <w:spacing w:beforeLines="0" w:beforeAutospacing="1" w:afterLines="0" w:afterAutospacing="1" w:line="240" w:lineRule="auto"/>
      <w:jc w:val="left"/>
    </w:pPr>
    <w:rPr>
      <w:rFonts w:ascii="等线" w:hAnsi="等线" w:eastAsia="等线" w:cs="宋体"/>
      <w:kern w:val="0"/>
      <w:sz w:val="20"/>
      <w:szCs w:val="20"/>
    </w:rPr>
  </w:style>
  <w:style w:type="paragraph" w:customStyle="1" w:styleId="303">
    <w:name w:val="font7"/>
    <w:basedOn w:val="1"/>
    <w:autoRedefine/>
    <w:qFormat/>
    <w:uiPriority w:val="0"/>
    <w:pPr>
      <w:widowControl/>
      <w:spacing w:beforeLines="0" w:beforeAutospacing="1" w:afterLines="0" w:afterAutospacing="1" w:line="240" w:lineRule="auto"/>
      <w:jc w:val="left"/>
    </w:pPr>
    <w:rPr>
      <w:rFonts w:ascii="宋体" w:hAnsi="宋体" w:cs="宋体"/>
      <w:kern w:val="0"/>
      <w:sz w:val="20"/>
      <w:szCs w:val="20"/>
    </w:rPr>
  </w:style>
  <w:style w:type="paragraph" w:customStyle="1" w:styleId="304">
    <w:name w:val="font8"/>
    <w:basedOn w:val="1"/>
    <w:autoRedefine/>
    <w:qFormat/>
    <w:uiPriority w:val="0"/>
    <w:pPr>
      <w:widowControl/>
      <w:spacing w:beforeLines="0" w:beforeAutospacing="1" w:afterLines="0" w:afterAutospacing="1" w:line="240" w:lineRule="auto"/>
      <w:jc w:val="left"/>
    </w:pPr>
    <w:rPr>
      <w:rFonts w:ascii="仿宋_GB2312" w:hAnsi="宋体" w:eastAsia="仿宋_GB2312" w:cs="宋体"/>
      <w:kern w:val="0"/>
      <w:sz w:val="20"/>
      <w:szCs w:val="20"/>
    </w:rPr>
  </w:style>
  <w:style w:type="paragraph" w:customStyle="1" w:styleId="305">
    <w:name w:val="xl66"/>
    <w:basedOn w:val="1"/>
    <w:autoRedefine/>
    <w:qFormat/>
    <w:uiPriority w:val="0"/>
    <w:pPr>
      <w:widowControl/>
      <w:pBdr>
        <w:top w:val="single" w:color="auto" w:sz="8" w:space="0"/>
        <w:left w:val="single" w:color="auto" w:sz="8" w:space="0"/>
        <w:bottom w:val="single" w:color="auto" w:sz="8" w:space="0"/>
        <w:right w:val="single" w:color="auto" w:sz="8" w:space="0"/>
      </w:pBdr>
      <w:spacing w:beforeLines="0" w:beforeAutospacing="1" w:afterLines="0" w:afterAutospacing="1" w:line="240" w:lineRule="auto"/>
      <w:jc w:val="center"/>
      <w:textAlignment w:val="center"/>
    </w:pPr>
    <w:rPr>
      <w:rFonts w:ascii="宋体" w:hAnsi="宋体" w:cs="宋体"/>
      <w:b/>
      <w:bCs/>
      <w:color w:val="000000"/>
      <w:kern w:val="0"/>
      <w:sz w:val="21"/>
      <w:szCs w:val="21"/>
    </w:rPr>
  </w:style>
  <w:style w:type="paragraph" w:customStyle="1" w:styleId="30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center"/>
      <w:textAlignment w:val="center"/>
    </w:pPr>
    <w:rPr>
      <w:rFonts w:ascii="宋体" w:hAnsi="宋体" w:cs="宋体"/>
      <w:kern w:val="0"/>
      <w:sz w:val="20"/>
      <w:szCs w:val="20"/>
    </w:rPr>
  </w:style>
  <w:style w:type="paragraph" w:customStyle="1" w:styleId="30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center"/>
      <w:textAlignment w:val="center"/>
    </w:pPr>
    <w:rPr>
      <w:rFonts w:ascii="宋体" w:hAnsi="宋体" w:cs="宋体"/>
      <w:kern w:val="0"/>
      <w:sz w:val="20"/>
      <w:szCs w:val="20"/>
    </w:rPr>
  </w:style>
  <w:style w:type="paragraph" w:customStyle="1" w:styleId="30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center"/>
      <w:textAlignment w:val="center"/>
    </w:pPr>
    <w:rPr>
      <w:rFonts w:ascii="宋体" w:hAnsi="宋体" w:cs="宋体"/>
      <w:kern w:val="0"/>
      <w:sz w:val="20"/>
      <w:szCs w:val="20"/>
    </w:rPr>
  </w:style>
  <w:style w:type="paragraph" w:customStyle="1" w:styleId="30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center"/>
      <w:textAlignment w:val="center"/>
    </w:pPr>
    <w:rPr>
      <w:rFonts w:ascii="宋体" w:hAnsi="宋体" w:cs="宋体"/>
      <w:kern w:val="0"/>
      <w:sz w:val="20"/>
      <w:szCs w:val="20"/>
    </w:rPr>
  </w:style>
  <w:style w:type="paragraph" w:customStyle="1" w:styleId="31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jc w:val="center"/>
      <w:textAlignment w:val="center"/>
    </w:pPr>
    <w:rPr>
      <w:rFonts w:ascii="宋体" w:hAnsi="宋体" w:cs="宋体"/>
      <w:kern w:val="0"/>
      <w:sz w:val="20"/>
      <w:szCs w:val="20"/>
    </w:rPr>
  </w:style>
  <w:style w:type="paragraph" w:customStyle="1" w:styleId="311">
    <w:name w:val="xl74"/>
    <w:basedOn w:val="1"/>
    <w:autoRedefine/>
    <w:qFormat/>
    <w:uiPriority w:val="0"/>
    <w:pPr>
      <w:widowControl/>
      <w:spacing w:beforeLines="0" w:beforeAutospacing="1" w:afterLines="0" w:afterAutospacing="1" w:line="240" w:lineRule="auto"/>
      <w:jc w:val="left"/>
    </w:pPr>
    <w:rPr>
      <w:rFonts w:ascii="宋体" w:hAnsi="宋体" w:cs="宋体"/>
      <w:kern w:val="0"/>
      <w:szCs w:val="24"/>
    </w:rPr>
  </w:style>
  <w:style w:type="paragraph" w:customStyle="1" w:styleId="312">
    <w:name w:val="xl75"/>
    <w:basedOn w:val="1"/>
    <w:autoRedefine/>
    <w:qFormat/>
    <w:uiPriority w:val="0"/>
    <w:pPr>
      <w:widowControl/>
      <w:spacing w:beforeLines="0" w:beforeAutospacing="1" w:afterLines="0" w:afterAutospacing="1" w:line="240" w:lineRule="auto"/>
      <w:jc w:val="left"/>
    </w:pPr>
    <w:rPr>
      <w:rFonts w:ascii="宋体" w:hAnsi="宋体" w:cs="宋体"/>
      <w:kern w:val="0"/>
      <w:szCs w:val="24"/>
    </w:rPr>
  </w:style>
  <w:style w:type="paragraph" w:customStyle="1" w:styleId="313">
    <w:name w:val="xl76"/>
    <w:basedOn w:val="1"/>
    <w:autoRedefine/>
    <w:qFormat/>
    <w:uiPriority w:val="0"/>
    <w:pPr>
      <w:widowControl/>
      <w:pBdr>
        <w:left w:val="single" w:color="auto" w:sz="4" w:space="0"/>
        <w:right w:val="single" w:color="auto" w:sz="4" w:space="0"/>
      </w:pBdr>
      <w:spacing w:beforeLines="0" w:beforeAutospacing="1" w:afterLines="0" w:afterAutospacing="1" w:line="240" w:lineRule="auto"/>
      <w:jc w:val="center"/>
      <w:textAlignment w:val="center"/>
    </w:pPr>
    <w:rPr>
      <w:rFonts w:ascii="宋体" w:hAnsi="宋体" w:cs="宋体"/>
      <w:kern w:val="0"/>
      <w:sz w:val="20"/>
      <w:szCs w:val="20"/>
    </w:rPr>
  </w:style>
  <w:style w:type="paragraph" w:customStyle="1" w:styleId="314">
    <w:name w:val="xl77"/>
    <w:basedOn w:val="1"/>
    <w:autoRedefine/>
    <w:qFormat/>
    <w:uiPriority w:val="0"/>
    <w:pPr>
      <w:widowControl/>
      <w:spacing w:beforeLines="0" w:beforeAutospacing="1" w:afterLines="0" w:afterAutospacing="1" w:line="240" w:lineRule="auto"/>
      <w:jc w:val="left"/>
    </w:pPr>
    <w:rPr>
      <w:rFonts w:ascii="宋体" w:hAnsi="宋体" w:cs="宋体"/>
      <w:kern w:val="0"/>
      <w:szCs w:val="24"/>
    </w:rPr>
  </w:style>
  <w:style w:type="table" w:customStyle="1" w:styleId="315">
    <w:name w:val="网格型2"/>
    <w:basedOn w:val="4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简明型 111"/>
    <w:basedOn w:val="46"/>
    <w:autoRedefine/>
    <w:qFormat/>
    <w:uiPriority w:val="0"/>
    <w:pPr>
      <w:widowControl w:val="0"/>
      <w:jc w:val="both"/>
    </w:pPr>
    <w:tblPr>
      <w:tblBorders>
        <w:top w:val="single" w:color="000000" w:sz="12" w:space="0"/>
        <w:bottom w:val="single" w:color="000000" w:sz="12" w:space="0"/>
      </w:tblBorders>
    </w:tblPr>
    <w:tblStylePr w:type="firstRow">
      <w:tcPr>
        <w:tcBorders>
          <w:bottom w:val="single" w:color="000000" w:sz="4" w:space="0"/>
        </w:tcBorders>
      </w:tcPr>
    </w:tblStylePr>
    <w:tblStylePr w:type="lastRow">
      <w:tcPr>
        <w:tcBorders>
          <w:top w:val="single" w:color="008000" w:sz="6" w:space="0"/>
          <w:tl2br w:val="nil"/>
          <w:tr2bl w:val="nil"/>
        </w:tcBorders>
      </w:tcPr>
    </w:tblStylePr>
  </w:style>
  <w:style w:type="table" w:customStyle="1" w:styleId="317">
    <w:name w:val="网格型11"/>
    <w:basedOn w:val="46"/>
    <w:autoRedefine/>
    <w:qFormat/>
    <w:uiPriority w:val="5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型3"/>
    <w:basedOn w:val="4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9">
    <w:name w:val="BodyText1I2"/>
    <w:basedOn w:val="320"/>
    <w:autoRedefine/>
    <w:qFormat/>
    <w:uiPriority w:val="0"/>
    <w:pPr>
      <w:ind w:firstLine="420"/>
    </w:pPr>
  </w:style>
  <w:style w:type="paragraph" w:customStyle="1" w:styleId="320">
    <w:name w:val="BodyTextIndent"/>
    <w:basedOn w:val="1"/>
    <w:next w:val="319"/>
    <w:autoRedefine/>
    <w:qFormat/>
    <w:uiPriority w:val="0"/>
    <w:pPr>
      <w:spacing w:beforeLines="0" w:afterLines="0"/>
      <w:ind w:left="420" w:leftChars="200" w:firstLine="200" w:firstLineChars="200"/>
      <w:textAlignment w:val="baseline"/>
    </w:pPr>
    <w:rPr>
      <w:szCs w:val="21"/>
    </w:rPr>
  </w:style>
  <w:style w:type="table" w:customStyle="1" w:styleId="321">
    <w:name w:val="TableGrid"/>
    <w:autoRedefine/>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322">
    <w:name w:val="Heading3"/>
    <w:basedOn w:val="1"/>
    <w:next w:val="1"/>
    <w:autoRedefine/>
    <w:qFormat/>
    <w:uiPriority w:val="0"/>
    <w:pPr>
      <w:spacing w:beforeLines="0" w:afterLines="0" w:line="271" w:lineRule="auto"/>
      <w:ind w:firstLine="480" w:firstLineChars="200"/>
    </w:pPr>
    <w:rPr>
      <w:rFonts w:ascii="Cambria" w:hAnsi="Cambria" w:eastAsia="等线" w:cs="Cambria"/>
      <w:b/>
      <w:bCs/>
      <w:sz w:val="21"/>
      <w:szCs w:val="24"/>
    </w:rPr>
  </w:style>
  <w:style w:type="paragraph" w:customStyle="1" w:styleId="323">
    <w:name w:val="表"/>
    <w:basedOn w:val="1"/>
    <w:autoRedefine/>
    <w:qFormat/>
    <w:uiPriority w:val="0"/>
    <w:pPr>
      <w:widowControl/>
      <w:spacing w:beforeLines="0" w:afterLines="0" w:line="240" w:lineRule="auto"/>
    </w:pPr>
    <w:rPr>
      <w:rFonts w:ascii="宋体" w:hAnsi="宋体" w:cs="宋体"/>
      <w:color w:val="000000"/>
      <w:kern w:val="0"/>
      <w:sz w:val="22"/>
    </w:rPr>
  </w:style>
  <w:style w:type="paragraph" w:customStyle="1" w:styleId="324">
    <w:name w:val="专栏头"/>
    <w:basedOn w:val="14"/>
    <w:autoRedefine/>
    <w:qFormat/>
    <w:uiPriority w:val="0"/>
    <w:pPr>
      <w:spacing w:beforeLines="0" w:afterLines="0"/>
      <w:jc w:val="center"/>
    </w:pPr>
    <w:rPr>
      <w:rFonts w:ascii="等线 Light" w:hAnsi="等线 Light"/>
      <w:kern w:val="2"/>
      <w:sz w:val="24"/>
      <w:lang w:val="en-US"/>
    </w:rPr>
  </w:style>
  <w:style w:type="paragraph" w:customStyle="1" w:styleId="325">
    <w:name w:val="规划正文"/>
    <w:basedOn w:val="44"/>
    <w:autoRedefine/>
    <w:qFormat/>
    <w:uiPriority w:val="99"/>
    <w:pPr>
      <w:keepNext w:val="0"/>
      <w:keepLines w:val="0"/>
      <w:spacing w:line="360" w:lineRule="auto"/>
      <w:ind w:left="2" w:firstLine="560" w:firstLineChars="200"/>
    </w:pPr>
    <w:rPr>
      <w:rFonts w:ascii="仿宋" w:hAnsi="仿宋"/>
      <w:b w:val="0"/>
      <w:bCs w:val="0"/>
      <w:color w:val="000000"/>
      <w:kern w:val="0"/>
      <w:sz w:val="28"/>
      <w:szCs w:val="28"/>
      <w:lang w:val="en-US"/>
    </w:rPr>
  </w:style>
  <w:style w:type="character" w:customStyle="1" w:styleId="326">
    <w:name w:val="样式3 Char"/>
    <w:link w:val="65"/>
    <w:autoRedefine/>
    <w:qFormat/>
    <w:locked/>
    <w:uiPriority w:val="0"/>
    <w:rPr>
      <w:rFonts w:ascii="宋体" w:hAnsi="宋体"/>
      <w:b/>
      <w:sz w:val="21"/>
      <w:szCs w:val="21"/>
    </w:rPr>
  </w:style>
  <w:style w:type="paragraph" w:customStyle="1" w:styleId="327">
    <w:name w:val="图表"/>
    <w:basedOn w:val="1"/>
    <w:autoRedefine/>
    <w:qFormat/>
    <w:uiPriority w:val="99"/>
    <w:pPr>
      <w:spacing w:beforeLines="0" w:afterLines="0" w:line="300" w:lineRule="auto"/>
      <w:jc w:val="center"/>
    </w:pPr>
    <w:rPr>
      <w:sz w:val="21"/>
    </w:rPr>
  </w:style>
  <w:style w:type="paragraph" w:customStyle="1" w:styleId="328">
    <w:name w:val="样式 文字重点 + 小四 首行缩进:  2 字符"/>
    <w:basedOn w:val="1"/>
    <w:autoRedefine/>
    <w:qFormat/>
    <w:uiPriority w:val="99"/>
    <w:pPr>
      <w:tabs>
        <w:tab w:val="center" w:pos="2268"/>
        <w:tab w:val="right" w:pos="7938"/>
      </w:tabs>
      <w:spacing w:beforeLines="0" w:afterLines="0"/>
      <w:ind w:firstLine="480" w:firstLineChars="200"/>
    </w:pPr>
    <w:rPr>
      <w:rFonts w:ascii="Calibri" w:hAnsi="Calibri" w:cs="宋体"/>
      <w:kern w:val="0"/>
      <w:szCs w:val="20"/>
    </w:rPr>
  </w:style>
  <w:style w:type="character" w:customStyle="1" w:styleId="329">
    <w:name w:val="文字正文主体 Char"/>
    <w:link w:val="330"/>
    <w:autoRedefine/>
    <w:qFormat/>
    <w:locked/>
    <w:uiPriority w:val="0"/>
    <w:rPr>
      <w:rFonts w:ascii="Arial" w:hAnsi="Arial" w:cs="Arial"/>
      <w:kern w:val="2"/>
      <w:sz w:val="24"/>
      <w:szCs w:val="21"/>
    </w:rPr>
  </w:style>
  <w:style w:type="paragraph" w:customStyle="1" w:styleId="330">
    <w:name w:val="文字正文主体"/>
    <w:basedOn w:val="1"/>
    <w:link w:val="329"/>
    <w:autoRedefine/>
    <w:qFormat/>
    <w:uiPriority w:val="0"/>
    <w:pPr>
      <w:tabs>
        <w:tab w:val="center" w:pos="2268"/>
        <w:tab w:val="right" w:pos="7938"/>
      </w:tabs>
      <w:spacing w:beforeLines="0" w:afterLines="0"/>
      <w:ind w:firstLine="560" w:firstLineChars="200"/>
    </w:pPr>
    <w:rPr>
      <w:rFonts w:ascii="Arial" w:hAnsi="Arial" w:cs="Arial"/>
      <w:szCs w:val="21"/>
    </w:rPr>
  </w:style>
  <w:style w:type="paragraph" w:customStyle="1" w:styleId="331">
    <w:name w:val="zw"/>
    <w:basedOn w:val="1"/>
    <w:autoRedefine/>
    <w:qFormat/>
    <w:uiPriority w:val="99"/>
    <w:pPr>
      <w:spacing w:beforeLines="0" w:afterLines="0" w:line="300" w:lineRule="auto"/>
      <w:ind w:firstLine="480" w:firstLineChars="200"/>
    </w:pPr>
    <w:rPr>
      <w:szCs w:val="21"/>
    </w:rPr>
  </w:style>
  <w:style w:type="character" w:customStyle="1" w:styleId="332">
    <w:name w:val="报告题注 Char"/>
    <w:link w:val="333"/>
    <w:autoRedefine/>
    <w:qFormat/>
    <w:locked/>
    <w:uiPriority w:val="0"/>
    <w:rPr>
      <w:rFonts w:ascii="Times New Roman" w:hAnsi="Times New Roman"/>
      <w:b/>
      <w:kern w:val="2"/>
      <w:sz w:val="21"/>
      <w:szCs w:val="28"/>
      <w:lang w:val="zh-CN"/>
    </w:rPr>
  </w:style>
  <w:style w:type="paragraph" w:customStyle="1" w:styleId="333">
    <w:name w:val="报告题注"/>
    <w:basedOn w:val="1"/>
    <w:next w:val="187"/>
    <w:link w:val="332"/>
    <w:autoRedefine/>
    <w:qFormat/>
    <w:uiPriority w:val="0"/>
    <w:pPr>
      <w:spacing w:line="240" w:lineRule="auto"/>
      <w:jc w:val="center"/>
    </w:pPr>
    <w:rPr>
      <w:b/>
      <w:sz w:val="21"/>
      <w:szCs w:val="28"/>
      <w:lang w:val="zh-CN"/>
    </w:rPr>
  </w:style>
  <w:style w:type="character" w:customStyle="1" w:styleId="334">
    <w:name w:val="cd-表图头 字符"/>
    <w:link w:val="335"/>
    <w:autoRedefine/>
    <w:qFormat/>
    <w:locked/>
    <w:uiPriority w:val="0"/>
    <w:rPr>
      <w:rFonts w:ascii="Times New Roman" w:hAnsi="Times New Roman"/>
      <w:b/>
      <w:kern w:val="2"/>
      <w:sz w:val="24"/>
      <w:szCs w:val="24"/>
    </w:rPr>
  </w:style>
  <w:style w:type="paragraph" w:customStyle="1" w:styleId="335">
    <w:name w:val="cd-表图头"/>
    <w:basedOn w:val="14"/>
    <w:link w:val="334"/>
    <w:autoRedefine/>
    <w:qFormat/>
    <w:uiPriority w:val="0"/>
    <w:pPr>
      <w:keepNext/>
      <w:widowControl/>
      <w:spacing w:beforeLines="0" w:afterLines="0" w:line="240" w:lineRule="auto"/>
      <w:jc w:val="center"/>
    </w:pPr>
    <w:rPr>
      <w:rFonts w:ascii="Times New Roman" w:hAnsi="Times New Roman" w:eastAsia="宋体"/>
      <w:b/>
      <w:kern w:val="2"/>
      <w:sz w:val="24"/>
      <w:szCs w:val="24"/>
      <w:lang w:val="en-US"/>
    </w:rPr>
  </w:style>
  <w:style w:type="paragraph" w:customStyle="1" w:styleId="336">
    <w:name w:val="正文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37">
    <w:name w:val="正文正 Char"/>
    <w:link w:val="338"/>
    <w:autoRedefine/>
    <w:qFormat/>
    <w:locked/>
    <w:uiPriority w:val="0"/>
    <w:rPr>
      <w:rFonts w:ascii="宋体" w:hAnsi="宋体"/>
      <w:bCs/>
      <w:color w:val="000000"/>
      <w:sz w:val="24"/>
      <w:szCs w:val="24"/>
    </w:rPr>
  </w:style>
  <w:style w:type="paragraph" w:customStyle="1" w:styleId="338">
    <w:name w:val="正文正"/>
    <w:basedOn w:val="1"/>
    <w:link w:val="337"/>
    <w:autoRedefine/>
    <w:qFormat/>
    <w:uiPriority w:val="0"/>
    <w:pPr>
      <w:spacing w:beforeLines="0" w:afterLines="0"/>
      <w:ind w:firstLine="480" w:firstLineChars="200"/>
    </w:pPr>
    <w:rPr>
      <w:rFonts w:ascii="宋体" w:hAnsi="宋体"/>
      <w:bCs/>
      <w:color w:val="000000"/>
      <w:kern w:val="0"/>
      <w:szCs w:val="24"/>
    </w:rPr>
  </w:style>
  <w:style w:type="character" w:customStyle="1" w:styleId="339">
    <w:name w:val="不明显强调11"/>
    <w:autoRedefine/>
    <w:qFormat/>
    <w:uiPriority w:val="19"/>
    <w:rPr>
      <w:i/>
      <w:iCs/>
      <w:color w:val="808080"/>
    </w:rPr>
  </w:style>
  <w:style w:type="character" w:customStyle="1" w:styleId="340">
    <w:name w:val="明显强调11"/>
    <w:autoRedefine/>
    <w:qFormat/>
    <w:uiPriority w:val="21"/>
    <w:rPr>
      <w:i/>
      <w:iCs/>
      <w:color w:val="4472C4"/>
    </w:rPr>
  </w:style>
  <w:style w:type="character" w:customStyle="1" w:styleId="341">
    <w:name w:val="不明显参考11"/>
    <w:autoRedefine/>
    <w:qFormat/>
    <w:uiPriority w:val="31"/>
    <w:rPr>
      <w:smallCaps/>
      <w:color w:val="595959"/>
    </w:rPr>
  </w:style>
  <w:style w:type="character" w:customStyle="1" w:styleId="342">
    <w:name w:val="明显参考11"/>
    <w:autoRedefine/>
    <w:qFormat/>
    <w:uiPriority w:val="32"/>
    <w:rPr>
      <w:b/>
      <w:bCs/>
      <w:smallCaps/>
      <w:color w:val="4472C4"/>
      <w:spacing w:val="5"/>
    </w:rPr>
  </w:style>
  <w:style w:type="character" w:customStyle="1" w:styleId="343">
    <w:name w:val="书籍标题11"/>
    <w:autoRedefine/>
    <w:qFormat/>
    <w:uiPriority w:val="33"/>
    <w:rPr>
      <w:b/>
      <w:bCs/>
      <w:i/>
      <w:iCs/>
      <w:spacing w:val="5"/>
    </w:rPr>
  </w:style>
  <w:style w:type="character" w:customStyle="1" w:styleId="344">
    <w:name w:val="公文正文"/>
    <w:autoRedefine/>
    <w:qFormat/>
    <w:uiPriority w:val="0"/>
    <w:rPr>
      <w:rFonts w:hint="eastAsia" w:ascii="仿宋_GB2312" w:eastAsia="仿宋_GB2312"/>
      <w:sz w:val="32"/>
    </w:rPr>
  </w:style>
  <w:style w:type="character" w:customStyle="1" w:styleId="345">
    <w:name w:val="批注主题 字符1"/>
    <w:autoRedefine/>
    <w:semiHidden/>
    <w:qFormat/>
    <w:uiPriority w:val="99"/>
    <w:rPr>
      <w:rFonts w:ascii="Times New Roman" w:hAnsi="Times New Roman" w:eastAsia="宋体" w:cs="Times New Roman"/>
      <w:b/>
      <w:bCs/>
      <w:kern w:val="0"/>
      <w:sz w:val="24"/>
      <w:szCs w:val="20"/>
      <w:lang w:val="zh-CN" w:eastAsia="zh-CN"/>
    </w:rPr>
  </w:style>
  <w:style w:type="character" w:customStyle="1" w:styleId="346">
    <w:name w:val="正文文本 字符1"/>
    <w:autoRedefine/>
    <w:semiHidden/>
    <w:qFormat/>
    <w:uiPriority w:val="99"/>
    <w:rPr>
      <w:rFonts w:hint="eastAsia" w:ascii="等线" w:hAnsi="等线" w:eastAsia="等线" w:cs="Times New Roman"/>
      <w:kern w:val="2"/>
      <w:sz w:val="24"/>
      <w:szCs w:val="21"/>
    </w:rPr>
  </w:style>
  <w:style w:type="character" w:customStyle="1" w:styleId="347">
    <w:name w:val="标题 字符1"/>
    <w:autoRedefine/>
    <w:qFormat/>
    <w:uiPriority w:val="0"/>
    <w:rPr>
      <w:rFonts w:hint="default" w:ascii="Times New Roman" w:hAnsi="Times New Roman" w:eastAsia="仿宋_GB2312" w:cs="Times New Roman"/>
      <w:b/>
      <w:bCs/>
      <w:sz w:val="28"/>
      <w:szCs w:val="32"/>
    </w:rPr>
  </w:style>
  <w:style w:type="character" w:customStyle="1" w:styleId="348">
    <w:name w:val="标题 字符2"/>
    <w:autoRedefine/>
    <w:qFormat/>
    <w:uiPriority w:val="10"/>
    <w:rPr>
      <w:rFonts w:hint="default" w:ascii="Times New Roman" w:hAnsi="Times New Roman" w:eastAsia="仿宋_GB2312" w:cs="Times New Roman"/>
      <w:b/>
      <w:bCs/>
      <w:sz w:val="28"/>
      <w:szCs w:val="32"/>
    </w:rPr>
  </w:style>
  <w:style w:type="table" w:customStyle="1" w:styleId="349">
    <w:name w:val="无格式表格 11"/>
    <w:basedOn w:val="46"/>
    <w:autoRedefine/>
    <w:qFormat/>
    <w:uiPriority w:val="41"/>
    <w:rPr>
      <w:rFonts w:ascii="等线" w:hAnsi="等线" w:eastAsia="等线"/>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50">
    <w:name w:val="网格表 41"/>
    <w:basedOn w:val="46"/>
    <w:autoRedefine/>
    <w:qFormat/>
    <w:uiPriority w:val="49"/>
    <w:rPr>
      <w:rFonts w:ascii="等线" w:hAnsi="等线" w:eastAsia="等线"/>
      <w:kern w:val="2"/>
      <w:sz w:val="21"/>
      <w:szCs w:val="21"/>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51">
    <w:name w:val="网格表 4 - 着色 11"/>
    <w:basedOn w:val="46"/>
    <w:autoRedefine/>
    <w:qFormat/>
    <w:uiPriority w:val="49"/>
    <w:rPr>
      <w:rFonts w:ascii="等线" w:hAnsi="等线" w:eastAsia="等线"/>
      <w:kern w:val="2"/>
      <w:sz w:val="21"/>
      <w:szCs w:val="21"/>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52">
    <w:name w:val="网格表 4 - 着色 31"/>
    <w:basedOn w:val="46"/>
    <w:autoRedefine/>
    <w:qFormat/>
    <w:uiPriority w:val="49"/>
    <w:rPr>
      <w:rFonts w:ascii="等线" w:hAnsi="等线" w:eastAsia="等线"/>
      <w:kern w:val="2"/>
      <w:sz w:val="21"/>
      <w:szCs w:val="21"/>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53">
    <w:name w:val="网格表 4 - 着色 51"/>
    <w:basedOn w:val="46"/>
    <w:autoRedefine/>
    <w:qFormat/>
    <w:uiPriority w:val="49"/>
    <w:rPr>
      <w:rFonts w:ascii="等线" w:hAnsi="等线" w:eastAsia="等线"/>
      <w:kern w:val="2"/>
      <w:sz w:val="21"/>
      <w:szCs w:val="21"/>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54">
    <w:name w:val="Table Normal"/>
    <w:autoRedefine/>
    <w:semiHidden/>
    <w:qFormat/>
    <w:uiPriority w:val="2"/>
    <w:pPr>
      <w:widowControl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355">
    <w:name w:val="三级标题+加粗+首行缩进2字符"/>
    <w:basedOn w:val="160"/>
    <w:link w:val="356"/>
    <w:autoRedefine/>
    <w:qFormat/>
    <w:uiPriority w:val="0"/>
    <w:rPr>
      <w:rFonts w:eastAsia="仿宋"/>
      <w:b/>
      <w:bCs w:val="0"/>
      <w:sz w:val="30"/>
    </w:rPr>
  </w:style>
  <w:style w:type="character" w:customStyle="1" w:styleId="356">
    <w:name w:val="三级标题+加粗+首行缩进2字符 字符"/>
    <w:basedOn w:val="163"/>
    <w:link w:val="355"/>
    <w:autoRedefine/>
    <w:qFormat/>
    <w:uiPriority w:val="0"/>
    <w:rPr>
      <w:rFonts w:ascii="Times New Roman" w:hAnsi="Times New Roman" w:eastAsia="仿宋"/>
      <w:b/>
      <w:bCs w:val="0"/>
      <w:kern w:val="2"/>
      <w:sz w:val="30"/>
      <w:szCs w:val="32"/>
    </w:rPr>
  </w:style>
  <w:style w:type="character" w:customStyle="1" w:styleId="357">
    <w:name w:val="未处理的提及6"/>
    <w:basedOn w:val="56"/>
    <w:autoRedefine/>
    <w:semiHidden/>
    <w:unhideWhenUsed/>
    <w:qFormat/>
    <w:uiPriority w:val="99"/>
    <w:rPr>
      <w:color w:val="605E5C"/>
      <w:shd w:val="clear" w:color="auto" w:fill="E1DFDD"/>
    </w:rPr>
  </w:style>
  <w:style w:type="paragraph" w:customStyle="1" w:styleId="358">
    <w:name w:val="&quot;Default&quot;"/>
    <w:autoRedefine/>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359">
    <w:name w:val="&quot;Default&quot;1"/>
    <w:autoRedefine/>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360">
    <w:name w:val="&quot;TOC 标题1&quot;"/>
    <w:basedOn w:val="3"/>
    <w:autoRedefine/>
    <w:qFormat/>
    <w:uiPriority w:val="0"/>
    <w:pPr>
      <w:keepNext/>
      <w:keepLines/>
      <w:widowControl/>
      <w:adjustRightInd/>
      <w:snapToGrid/>
      <w:spacing w:beforeLines="0" w:afterLines="0" w:line="259" w:lineRule="auto"/>
      <w:ind w:firstLine="200"/>
      <w:outlineLvl w:val="9"/>
    </w:pPr>
    <w:rPr>
      <w:rFonts w:ascii="Cambria" w:hAnsi="Cambria" w:eastAsia="仿宋_GB2312" w:cs="宋体"/>
      <w:b w:val="0"/>
      <w:color w:val="365F91"/>
      <w:kern w:val="0"/>
      <w:szCs w:val="32"/>
    </w:rPr>
  </w:style>
  <w:style w:type="paragraph" w:customStyle="1" w:styleId="361">
    <w:name w:val="标准正文"/>
    <w:basedOn w:val="1"/>
    <w:link w:val="362"/>
    <w:autoRedefine/>
    <w:qFormat/>
    <w:uiPriority w:val="0"/>
    <w:pPr>
      <w:snapToGrid w:val="0"/>
      <w:spacing w:before="156" w:afterLines="0"/>
      <w:ind w:firstLine="480" w:firstLineChars="200"/>
    </w:pPr>
    <w:rPr>
      <w:rFonts w:ascii="仿宋_GB2312" w:eastAsia="仿宋_GB2312"/>
      <w:szCs w:val="24"/>
    </w:rPr>
  </w:style>
  <w:style w:type="character" w:customStyle="1" w:styleId="362">
    <w:name w:val="标准正文 字符"/>
    <w:basedOn w:val="56"/>
    <w:link w:val="361"/>
    <w:autoRedefine/>
    <w:qFormat/>
    <w:uiPriority w:val="0"/>
    <w:rPr>
      <w:rFonts w:ascii="仿宋_GB2312" w:hAnsi="Times New Roman" w:eastAsia="仿宋_GB2312"/>
      <w:kern w:val="2"/>
      <w:sz w:val="24"/>
      <w:szCs w:val="24"/>
    </w:rPr>
  </w:style>
  <w:style w:type="paragraph" w:customStyle="1" w:styleId="363">
    <w:name w:val="正文文本格式"/>
    <w:basedOn w:val="158"/>
    <w:link w:val="365"/>
    <w:autoRedefine/>
    <w:qFormat/>
    <w:uiPriority w:val="0"/>
    <w:pPr>
      <w:ind w:firstLine="560" w:firstLineChars="200"/>
      <w:outlineLvl w:val="9"/>
    </w:pPr>
    <w:rPr>
      <w:rFonts w:ascii="仿宋" w:hAnsi="仿宋" w:eastAsia="仿宋"/>
      <w:bCs w:val="0"/>
      <w:sz w:val="28"/>
      <w:szCs w:val="28"/>
    </w:rPr>
  </w:style>
  <w:style w:type="paragraph" w:customStyle="1" w:styleId="364">
    <w:name w:val="四级标题格式"/>
    <w:basedOn w:val="158"/>
    <w:link w:val="366"/>
    <w:autoRedefine/>
    <w:qFormat/>
    <w:uiPriority w:val="0"/>
    <w:pPr>
      <w:ind w:firstLine="600" w:firstLineChars="200"/>
      <w:outlineLvl w:val="3"/>
    </w:pPr>
    <w:rPr>
      <w:rFonts w:eastAsia="仿宋"/>
      <w:sz w:val="28"/>
    </w:rPr>
  </w:style>
  <w:style w:type="character" w:customStyle="1" w:styleId="365">
    <w:name w:val="正文文本格式 Char"/>
    <w:basedOn w:val="161"/>
    <w:link w:val="363"/>
    <w:autoRedefine/>
    <w:qFormat/>
    <w:uiPriority w:val="0"/>
    <w:rPr>
      <w:rFonts w:ascii="仿宋" w:hAnsi="仿宋" w:eastAsia="仿宋"/>
      <w:bCs w:val="0"/>
      <w:kern w:val="2"/>
      <w:sz w:val="28"/>
      <w:szCs w:val="28"/>
    </w:rPr>
  </w:style>
  <w:style w:type="character" w:customStyle="1" w:styleId="366">
    <w:name w:val="四级标题格式 Char"/>
    <w:basedOn w:val="161"/>
    <w:link w:val="364"/>
    <w:autoRedefine/>
    <w:qFormat/>
    <w:uiPriority w:val="0"/>
    <w:rPr>
      <w:rFonts w:ascii="Times New Roman" w:hAnsi="Times New Roman" w:eastAsia="仿宋"/>
      <w:kern w:val="2"/>
      <w:sz w:val="28"/>
      <w:szCs w:val="30"/>
    </w:rPr>
  </w:style>
  <w:style w:type="paragraph" w:customStyle="1" w:styleId="367">
    <w:name w:val="贵阳正文文本"/>
    <w:basedOn w:val="156"/>
    <w:link w:val="368"/>
    <w:autoRedefine/>
    <w:qFormat/>
    <w:uiPriority w:val="0"/>
    <w:pPr>
      <w:ind w:firstLine="560" w:firstLineChars="200"/>
      <w:outlineLvl w:val="9"/>
    </w:pPr>
    <w:rPr>
      <w:b w:val="0"/>
      <w:bCs w:val="0"/>
      <w:sz w:val="28"/>
      <w:szCs w:val="28"/>
    </w:rPr>
  </w:style>
  <w:style w:type="character" w:customStyle="1" w:styleId="368">
    <w:name w:val="贵阳正文文本 字符"/>
    <w:basedOn w:val="159"/>
    <w:link w:val="367"/>
    <w:autoRedefine/>
    <w:qFormat/>
    <w:uiPriority w:val="0"/>
    <w:rPr>
      <w:rFonts w:ascii="Times New Roman" w:hAnsi="Times New Roman" w:eastAsia="仿宋"/>
      <w:b w:val="0"/>
      <w:bCs w:val="0"/>
      <w:kern w:val="2"/>
      <w:sz w:val="28"/>
      <w:szCs w:val="28"/>
    </w:rPr>
  </w:style>
  <w:style w:type="paragraph" w:customStyle="1" w:styleId="369">
    <w:name w:val="样式 正文001 + 首行缩进:  2 字符1"/>
    <w:basedOn w:val="1"/>
    <w:autoRedefine/>
    <w:qFormat/>
    <w:uiPriority w:val="0"/>
    <w:pPr>
      <w:spacing w:before="60" w:line="460" w:lineRule="exact"/>
      <w:ind w:firstLine="480"/>
    </w:pPr>
    <w:rPr>
      <w:rFonts w:ascii="宋体" w:hAnsi="宋体"/>
    </w:rPr>
  </w:style>
  <w:style w:type="character" w:customStyle="1" w:styleId="370">
    <w:name w:val="未处理的提及7"/>
    <w:basedOn w:val="56"/>
    <w:autoRedefine/>
    <w:semiHidden/>
    <w:unhideWhenUsed/>
    <w:qFormat/>
    <w:uiPriority w:val="99"/>
    <w:rPr>
      <w:color w:val="605E5C"/>
      <w:shd w:val="clear" w:color="auto" w:fill="E1DFDD"/>
    </w:rPr>
  </w:style>
  <w:style w:type="character" w:customStyle="1" w:styleId="371">
    <w:name w:val="font81"/>
    <w:basedOn w:val="56"/>
    <w:autoRedefine/>
    <w:qFormat/>
    <w:uiPriority w:val="0"/>
    <w:rPr>
      <w:rFonts w:hint="default" w:ascii="Times New Roman" w:hAnsi="Times New Roman" w:cs="Times New Roman"/>
      <w:color w:val="000000"/>
      <w:sz w:val="20"/>
      <w:szCs w:val="20"/>
      <w:u w:val="none"/>
    </w:rPr>
  </w:style>
  <w:style w:type="character" w:customStyle="1" w:styleId="372">
    <w:name w:val="font61"/>
    <w:basedOn w:val="56"/>
    <w:autoRedefine/>
    <w:qFormat/>
    <w:uiPriority w:val="0"/>
    <w:rPr>
      <w:rFonts w:hint="eastAsia" w:ascii="仿宋_GB2312" w:eastAsia="仿宋_GB2312" w:cs="仿宋_GB2312"/>
      <w:color w:val="000000"/>
      <w:sz w:val="20"/>
      <w:szCs w:val="20"/>
      <w:u w:val="none"/>
    </w:rPr>
  </w:style>
  <w:style w:type="character" w:customStyle="1" w:styleId="373">
    <w:name w:val="font71"/>
    <w:basedOn w:val="56"/>
    <w:autoRedefine/>
    <w:qFormat/>
    <w:uiPriority w:val="0"/>
    <w:rPr>
      <w:rFonts w:hint="eastAsia" w:ascii="仿宋_GB2312" w:eastAsia="仿宋_GB2312" w:cs="仿宋_GB2312"/>
      <w:color w:val="000000"/>
      <w:sz w:val="20"/>
      <w:szCs w:val="20"/>
      <w:u w:val="none"/>
    </w:rPr>
  </w:style>
  <w:style w:type="character" w:customStyle="1" w:styleId="374">
    <w:name w:val="font01"/>
    <w:basedOn w:val="56"/>
    <w:autoRedefine/>
    <w:qFormat/>
    <w:uiPriority w:val="0"/>
    <w:rPr>
      <w:rFonts w:hint="default" w:ascii="Times New Roman" w:hAnsi="Times New Roman" w:cs="Times New Roman"/>
      <w:color w:val="000000"/>
      <w:sz w:val="20"/>
      <w:szCs w:val="20"/>
      <w:u w:val="none"/>
    </w:rPr>
  </w:style>
  <w:style w:type="character" w:customStyle="1" w:styleId="375">
    <w:name w:val="未处理的提及8"/>
    <w:basedOn w:val="56"/>
    <w:autoRedefine/>
    <w:semiHidden/>
    <w:unhideWhenUsed/>
    <w:qFormat/>
    <w:uiPriority w:val="99"/>
    <w:rPr>
      <w:color w:val="605E5C"/>
      <w:shd w:val="clear" w:color="auto" w:fill="E1DFDD"/>
    </w:rPr>
  </w:style>
  <w:style w:type="paragraph" w:customStyle="1" w:styleId="376">
    <w:name w:val="修订5"/>
    <w:autoRedefine/>
    <w:hidden/>
    <w:semiHidden/>
    <w:qFormat/>
    <w:uiPriority w:val="99"/>
    <w:rPr>
      <w:rFonts w:ascii="Times New Roman" w:hAnsi="Times New Roman" w:eastAsia="宋体" w:cs="Times New Roman"/>
      <w:kern w:val="2"/>
      <w:sz w:val="24"/>
      <w:szCs w:val="22"/>
      <w:lang w:val="en-US" w:eastAsia="zh-CN" w:bidi="ar-SA"/>
    </w:rPr>
  </w:style>
  <w:style w:type="character" w:customStyle="1" w:styleId="377">
    <w:name w:val="未处理的提及9"/>
    <w:basedOn w:val="56"/>
    <w:autoRedefine/>
    <w:semiHidden/>
    <w:unhideWhenUsed/>
    <w:qFormat/>
    <w:uiPriority w:val="99"/>
    <w:rPr>
      <w:color w:val="605E5C"/>
      <w:shd w:val="clear" w:color="auto" w:fill="E1DFDD"/>
    </w:rPr>
  </w:style>
  <w:style w:type="paragraph" w:customStyle="1" w:styleId="378">
    <w:name w:val="修订6"/>
    <w:autoRedefine/>
    <w:hidden/>
    <w:semiHidden/>
    <w:qFormat/>
    <w:uiPriority w:val="99"/>
    <w:rPr>
      <w:rFonts w:ascii="Times New Roman" w:hAnsi="Times New Roman" w:eastAsia="宋体" w:cs="Times New Roman"/>
      <w:kern w:val="2"/>
      <w:sz w:val="24"/>
      <w:szCs w:val="22"/>
      <w:lang w:val="en-US" w:eastAsia="zh-CN" w:bidi="ar-SA"/>
    </w:rPr>
  </w:style>
  <w:style w:type="character" w:customStyle="1" w:styleId="379">
    <w:name w:val="未处理的提及10"/>
    <w:basedOn w:val="56"/>
    <w:autoRedefine/>
    <w:semiHidden/>
    <w:unhideWhenUsed/>
    <w:qFormat/>
    <w:uiPriority w:val="99"/>
    <w:rPr>
      <w:color w:val="605E5C"/>
      <w:shd w:val="clear" w:color="auto" w:fill="E1DFDD"/>
    </w:rPr>
  </w:style>
  <w:style w:type="character" w:customStyle="1" w:styleId="380">
    <w:name w:val="未处理的提及11"/>
    <w:basedOn w:val="56"/>
    <w:autoRedefine/>
    <w:semiHidden/>
    <w:unhideWhenUsed/>
    <w:qFormat/>
    <w:uiPriority w:val="99"/>
    <w:rPr>
      <w:color w:val="605E5C"/>
      <w:shd w:val="clear" w:color="auto" w:fill="E1DFDD"/>
    </w:rPr>
  </w:style>
  <w:style w:type="paragraph" w:customStyle="1" w:styleId="381">
    <w:name w:val="修订7"/>
    <w:autoRedefine/>
    <w:hidden/>
    <w:semiHidden/>
    <w:qFormat/>
    <w:uiPriority w:val="99"/>
    <w:rPr>
      <w:rFonts w:ascii="Times New Roman" w:hAnsi="Times New Roman" w:eastAsia="宋体" w:cs="Times New Roman"/>
      <w:kern w:val="2"/>
      <w:sz w:val="24"/>
      <w:szCs w:val="22"/>
      <w:lang w:val="en-US" w:eastAsia="zh-CN" w:bidi="ar-SA"/>
    </w:rPr>
  </w:style>
  <w:style w:type="character" w:customStyle="1" w:styleId="382">
    <w:name w:val="未处理的提及12"/>
    <w:basedOn w:val="56"/>
    <w:autoRedefine/>
    <w:semiHidden/>
    <w:unhideWhenUsed/>
    <w:qFormat/>
    <w:uiPriority w:val="99"/>
    <w:rPr>
      <w:color w:val="605E5C"/>
      <w:shd w:val="clear" w:color="auto" w:fill="E1DFDD"/>
    </w:rPr>
  </w:style>
  <w:style w:type="character" w:customStyle="1" w:styleId="383">
    <w:name w:val="未处理的提及13"/>
    <w:basedOn w:val="56"/>
    <w:autoRedefine/>
    <w:semiHidden/>
    <w:unhideWhenUsed/>
    <w:qFormat/>
    <w:uiPriority w:val="99"/>
    <w:rPr>
      <w:color w:val="605E5C"/>
      <w:shd w:val="clear" w:color="auto" w:fill="E1DFDD"/>
    </w:rPr>
  </w:style>
  <w:style w:type="character" w:customStyle="1" w:styleId="384">
    <w:name w:val="页脚 字符"/>
    <w:autoRedefine/>
    <w:qFormat/>
    <w:uiPriority w:val="99"/>
    <w:rPr>
      <w:sz w:val="18"/>
      <w:szCs w:val="18"/>
    </w:rPr>
  </w:style>
  <w:style w:type="character" w:customStyle="1" w:styleId="385">
    <w:name w:val="无间隔 字符"/>
    <w:autoRedefine/>
    <w:qFormat/>
    <w:uiPriority w:val="1"/>
    <w:rPr>
      <w:kern w:val="0"/>
      <w:sz w:val="22"/>
    </w:rPr>
  </w:style>
  <w:style w:type="paragraph" w:customStyle="1" w:styleId="386">
    <w:name w:val="样式 左 行距: 最小值 28 磅"/>
    <w:autoRedefine/>
    <w:qFormat/>
    <w:uiPriority w:val="0"/>
    <w:pPr>
      <w:widowControl w:val="0"/>
      <w:shd w:val="clear" w:color="auto" w:fill="FFFFFF"/>
      <w:spacing w:line="360" w:lineRule="atLeast"/>
    </w:pPr>
    <w:rPr>
      <w:rFonts w:ascii="Calibri" w:hAnsi="Calibri" w:eastAsia="仿宋_GB2312" w:cs="宋体"/>
      <w:kern w:val="2"/>
      <w:sz w:val="32"/>
      <w:lang w:val="en-US" w:eastAsia="zh-CN" w:bidi="ar-SA"/>
    </w:rPr>
  </w:style>
  <w:style w:type="paragraph" w:customStyle="1" w:styleId="387">
    <w:name w:val="修订8"/>
    <w:autoRedefine/>
    <w:hidden/>
    <w:unhideWhenUsed/>
    <w:qFormat/>
    <w:uiPriority w:val="99"/>
    <w:rPr>
      <w:rFonts w:ascii="Times New Roman" w:hAnsi="Times New Roman" w:eastAsia="宋体" w:cs="Times New Roman"/>
      <w:kern w:val="2"/>
      <w:sz w:val="24"/>
      <w:szCs w:val="22"/>
      <w:lang w:val="en-US" w:eastAsia="zh-CN" w:bidi="ar-SA"/>
    </w:rPr>
  </w:style>
  <w:style w:type="paragraph" w:customStyle="1" w:styleId="388">
    <w:name w:val="Revision"/>
    <w:autoRedefine/>
    <w:hidden/>
    <w:semiHidden/>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358BB9CE-32B2-4430-929E-27178030677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35</Pages>
  <Words>17189</Words>
  <Characters>17422</Characters>
  <Lines>125</Lines>
  <Paragraphs>35</Paragraphs>
  <TotalTime>17</TotalTime>
  <ScaleCrop>false</ScaleCrop>
  <LinksUpToDate>false</LinksUpToDate>
  <CharactersWithSpaces>17422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2023-06-08T08:36:00Z</dcterms:created>
  <dc:creator>CRAES</dc:creator>
  <cp:lastModifiedBy>你憋说话</cp:lastModifiedBy>
  <cp:lastPrinted>2023-06-17T08:05:00Z</cp:lastPrinted>
  <dcterms:modified xsi:type="dcterms:W3CDTF">2023-12-15T08:06:30Z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BCC24B86C3CA45D3A48ACAEE027ABE19_13</vt:lpwstr>
  </property>
</Properties>
</file>