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开阳县那卡河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水库管理与保护范围划定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Arial" w:hAnsi="Arial" w:eastAsia="宋体" w:cs="Arial"/>
          <w:color w:val="000000"/>
          <w:kern w:val="0"/>
          <w:sz w:val="18"/>
          <w:szCs w:val="18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综述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根据国家、省有关法律、法规和文件要求，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贵阳筑水水利产业发展有限公司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委托设计单位开展了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开阳县那卡河水库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管理与保护范围划定工作。经现场勘测与计算，并通过专家技术审查，现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开阳县那卡河水库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管理与保护范围划定工作已完成，并形成相应成果。现将划界成果进行公示如下：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一、划界依据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《中华人民共和国水法》、《中华人民共和国防洪法》、《中华人民共和国土地管理法》、《贵州省水利工程管理条例》、《水库大坝安全管理条例》、《贵州省水库大坝安全管理办法》、《水利部关于关于切实做好水利工程管理与保护范围划定工作的通知》（水运管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〕164号）、《贵州省“十四五”水利工程管理与保护范围划定总体方案》、《河道管理范围划界技术规程》（DB52/T1450-2019）等法律法规、文件、规范划定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那卡河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水库管理与保护范围。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二、划界方法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本次水库划界根据相关法律法规、文件、规范，通过外业调查、无人机航测，结合内业计算分析形成最终成果。基本步骤为：踏勘调查→控制测量→地形图测量→确定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水库退赔线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→划定水库管理范围→确定管理范围界桩、公告牌坐标。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1.管理范围线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水库工程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库区按照水库退赔线划定，水库退赔线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与实际地形不吻合的再修正退赔线，以调整过后的退赔线作为库区管理范围线划定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大坝枢纽按大坝枢纽征地线划定，大坝左右两端征地线不足大坝轮廓线外延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30m的按外延30m划定，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大坝下游征地线不足大坝轮廓线外延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100m的按外延100m划定。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供水工程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提水泵站、压力管道、高位水位、工业输水管及灌溉输水管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、上坝公路、高位水池公路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均按实际征地线划定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2.保护范围线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水库工程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库区以坝址上游按照管理范围线外延1000米划定，不足1000米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有分水岭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的按分水岭划定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。由于大坝左右两端管理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范围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线与保护范围线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划定下限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分别为大坝轮廓线外延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30m和50m，为了便于划定大坝保护范围线，以大坝管理范围线外延20m划定，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大坝左右两端管理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范围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上限为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大坝轮廓线外延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大坝左岸多于大坝轮廓线外延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100m的按外延100m划定。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供水工程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：泵站为建筑物周边30m划定，即管理范围线外延30m划定；管理房和高位水池参照泵站划定。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压力管道、工业输水管及灌溉输水管等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均按管理范围线外延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3m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划定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；公路不做保护范围划定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三、划界成果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那卡河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水库</w:t>
      </w:r>
      <w:r>
        <w:rPr>
          <w:rFonts w:ascii="Times New Roman" w:hAnsi="Times New Roman" w:eastAsia="仿宋_GB2312" w:cs="Times New Roman"/>
          <w:sz w:val="32"/>
          <w:szCs w:val="32"/>
        </w:rPr>
        <w:t>根据实测资料划定的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水库</w:t>
      </w:r>
      <w:r>
        <w:rPr>
          <w:rFonts w:ascii="Times New Roman" w:hAnsi="Times New Roman" w:eastAsia="仿宋_GB2312" w:cs="Times New Roman"/>
          <w:sz w:val="32"/>
          <w:szCs w:val="32"/>
        </w:rPr>
        <w:t>工程区管理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护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范围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线，根据实际情况共埋设界桩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个，公告牌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块；划定水库工程区管理范围线长度10.03km，水库工程区管理范围面积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4629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km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。水库工程区保护范围线长度12.48km，水库工程区保护范围面积9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3061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km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。供水工程区管理范围线长度19.20km，供水工程区管理范围面积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909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km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。供水工程区保护范围线长度12.42km，供水工程区保护范围面积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1322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km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NDcwYTE1Yjg5NDk0M2U1MGU5ZjdjNDIxMzNmYzAifQ=="/>
  </w:docVars>
  <w:rsids>
    <w:rsidRoot w:val="00063A4C"/>
    <w:rsid w:val="00063A4C"/>
    <w:rsid w:val="000B70FD"/>
    <w:rsid w:val="00221DD5"/>
    <w:rsid w:val="002E6CC0"/>
    <w:rsid w:val="004623AF"/>
    <w:rsid w:val="00532661"/>
    <w:rsid w:val="0053348C"/>
    <w:rsid w:val="00644085"/>
    <w:rsid w:val="006800C9"/>
    <w:rsid w:val="007C54B3"/>
    <w:rsid w:val="007F2B59"/>
    <w:rsid w:val="007F79F2"/>
    <w:rsid w:val="00843FCC"/>
    <w:rsid w:val="00876115"/>
    <w:rsid w:val="008F5424"/>
    <w:rsid w:val="00A9307E"/>
    <w:rsid w:val="00AE7BB7"/>
    <w:rsid w:val="00B03393"/>
    <w:rsid w:val="00CB27CF"/>
    <w:rsid w:val="00D17BEB"/>
    <w:rsid w:val="00DC3E75"/>
    <w:rsid w:val="00E47764"/>
    <w:rsid w:val="036D7252"/>
    <w:rsid w:val="047C599F"/>
    <w:rsid w:val="06287461"/>
    <w:rsid w:val="07031F3A"/>
    <w:rsid w:val="08A234FA"/>
    <w:rsid w:val="098A7A1C"/>
    <w:rsid w:val="098E3A7F"/>
    <w:rsid w:val="0A2D03C1"/>
    <w:rsid w:val="0E060087"/>
    <w:rsid w:val="0E252C04"/>
    <w:rsid w:val="0E39220B"/>
    <w:rsid w:val="100E76C7"/>
    <w:rsid w:val="138C2834"/>
    <w:rsid w:val="1393060F"/>
    <w:rsid w:val="13FD1F2D"/>
    <w:rsid w:val="14E46C49"/>
    <w:rsid w:val="15071437"/>
    <w:rsid w:val="17E21B65"/>
    <w:rsid w:val="19C5529B"/>
    <w:rsid w:val="1A5F749D"/>
    <w:rsid w:val="1DFB2DB3"/>
    <w:rsid w:val="22C7118E"/>
    <w:rsid w:val="251D41DD"/>
    <w:rsid w:val="266C3D2B"/>
    <w:rsid w:val="273B6B9C"/>
    <w:rsid w:val="27554102"/>
    <w:rsid w:val="27AD5F73"/>
    <w:rsid w:val="2C2C2F57"/>
    <w:rsid w:val="2D355E3C"/>
    <w:rsid w:val="302A5A00"/>
    <w:rsid w:val="319E0453"/>
    <w:rsid w:val="331E1D4A"/>
    <w:rsid w:val="37C84B73"/>
    <w:rsid w:val="38FB59C3"/>
    <w:rsid w:val="39534A56"/>
    <w:rsid w:val="399B34CA"/>
    <w:rsid w:val="3A3E6C77"/>
    <w:rsid w:val="3CD016DD"/>
    <w:rsid w:val="3CDC62D4"/>
    <w:rsid w:val="3F984734"/>
    <w:rsid w:val="42864D18"/>
    <w:rsid w:val="429B1EFC"/>
    <w:rsid w:val="42C43A92"/>
    <w:rsid w:val="437B23A2"/>
    <w:rsid w:val="453A003B"/>
    <w:rsid w:val="46053A62"/>
    <w:rsid w:val="466E4440"/>
    <w:rsid w:val="472E597E"/>
    <w:rsid w:val="49314638"/>
    <w:rsid w:val="499F44D4"/>
    <w:rsid w:val="49BC54C3"/>
    <w:rsid w:val="4A934476"/>
    <w:rsid w:val="4B865FB5"/>
    <w:rsid w:val="4C3349B6"/>
    <w:rsid w:val="4C336B34"/>
    <w:rsid w:val="4C863372"/>
    <w:rsid w:val="4CDB784A"/>
    <w:rsid w:val="4EF83441"/>
    <w:rsid w:val="4FF0236A"/>
    <w:rsid w:val="52D35CDB"/>
    <w:rsid w:val="54224ABC"/>
    <w:rsid w:val="54DF6509"/>
    <w:rsid w:val="56312D95"/>
    <w:rsid w:val="574A2360"/>
    <w:rsid w:val="591E00BC"/>
    <w:rsid w:val="5B7C4AB2"/>
    <w:rsid w:val="5BBA7430"/>
    <w:rsid w:val="5D786EA9"/>
    <w:rsid w:val="615564D1"/>
    <w:rsid w:val="64C179D9"/>
    <w:rsid w:val="65825D3A"/>
    <w:rsid w:val="65F54714"/>
    <w:rsid w:val="67A41618"/>
    <w:rsid w:val="68B41D2F"/>
    <w:rsid w:val="68F73BC0"/>
    <w:rsid w:val="69371C91"/>
    <w:rsid w:val="69F17DB4"/>
    <w:rsid w:val="6A0A6152"/>
    <w:rsid w:val="6D0152A0"/>
    <w:rsid w:val="6D8A12B0"/>
    <w:rsid w:val="6E056B89"/>
    <w:rsid w:val="6E182D60"/>
    <w:rsid w:val="6F3E6CF4"/>
    <w:rsid w:val="723B526F"/>
    <w:rsid w:val="744A79EB"/>
    <w:rsid w:val="74A070CE"/>
    <w:rsid w:val="75BC66C7"/>
    <w:rsid w:val="770C23E0"/>
    <w:rsid w:val="770F2826"/>
    <w:rsid w:val="7ABD0F17"/>
    <w:rsid w:val="7AF44659"/>
    <w:rsid w:val="7B2F5245"/>
    <w:rsid w:val="7BF070CA"/>
    <w:rsid w:val="7C6A28E4"/>
    <w:rsid w:val="7D254B52"/>
    <w:rsid w:val="7E682B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_7y5n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_10s4u"/>
    <w:basedOn w:val="8"/>
    <w:qFormat/>
    <w:uiPriority w:val="0"/>
  </w:style>
  <w:style w:type="character" w:customStyle="1" w:styleId="12">
    <w:name w:val="_3bwix"/>
    <w:basedOn w:val="8"/>
    <w:qFormat/>
    <w:uiPriority w:val="0"/>
  </w:style>
  <w:style w:type="character" w:customStyle="1" w:styleId="13">
    <w:name w:val="tf9vk"/>
    <w:basedOn w:val="8"/>
    <w:qFormat/>
    <w:uiPriority w:val="0"/>
  </w:style>
  <w:style w:type="character" w:customStyle="1" w:styleId="14">
    <w:name w:val="bjh-p"/>
    <w:basedOn w:val="8"/>
    <w:qFormat/>
    <w:uiPriority w:val="0"/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6E6E6D-8315-499E-87F7-1A43BAFD4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1095</Words>
  <Characters>1173</Characters>
  <Lines>6</Lines>
  <Paragraphs>1</Paragraphs>
  <TotalTime>6</TotalTime>
  <ScaleCrop>false</ScaleCrop>
  <LinksUpToDate>false</LinksUpToDate>
  <CharactersWithSpaces>1173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2022-11-24T05:18:00Z</dcterms:created>
  <dc:creator>Lenovo</dc:creator>
  <cp:lastModifiedBy>kylin</cp:lastModifiedBy>
  <cp:lastPrinted>2022-11-30T06:43:00Z</cp:lastPrinted>
  <dcterms:modified xsi:type="dcterms:W3CDTF">2023-11-28T02:15:09Z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341CE15FB9694DBD92C1EB188D3F17EA</vt:lpwstr>
  </property>
</Properties>
</file>